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1074E" w14:textId="77777777" w:rsidR="0038677D" w:rsidRPr="00912D89" w:rsidRDefault="0038677D" w:rsidP="0038677D">
      <w:pPr>
        <w:pStyle w:val="Default"/>
        <w:shd w:val="clear" w:color="auto" w:fill="D9D9D9" w:themeFill="background1" w:themeFillShade="D9"/>
        <w:rPr>
          <w:rFonts w:ascii="Constantia" w:hAnsi="Constantia" w:cs="Arial"/>
          <w:b/>
          <w:i/>
          <w:sz w:val="20"/>
          <w:szCs w:val="20"/>
        </w:rPr>
      </w:pPr>
      <w:r>
        <w:rPr>
          <w:rFonts w:ascii="Constantia" w:hAnsi="Constantia" w:cs="Arial"/>
          <w:b/>
          <w:i/>
          <w:sz w:val="20"/>
          <w:szCs w:val="20"/>
        </w:rPr>
        <w:t>Materials linked from the May 25, 2021 Budgets &amp; Fiscal Planning Committee meeting.</w:t>
      </w:r>
    </w:p>
    <w:p w14:paraId="1E0797A3" w14:textId="77777777" w:rsidR="0038677D" w:rsidRDefault="0038677D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</w:p>
    <w:p w14:paraId="6181E83D" w14:textId="337B58BA" w:rsidR="50BF245A" w:rsidRDefault="00FA7398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  <w:r w:rsidRPr="001F45A8">
        <w:rPr>
          <w:rFonts w:asciiTheme="minorHAnsi" w:eastAsia="Arial" w:hAnsiTheme="minorHAnsi" w:cstheme="minorHAnsi"/>
          <w:b/>
          <w:bCs/>
        </w:rPr>
        <w:t>BUDGET NARRATIVE</w:t>
      </w:r>
    </w:p>
    <w:p w14:paraId="408244B4" w14:textId="46B9DA22" w:rsidR="00F57A44" w:rsidRPr="001F45A8" w:rsidRDefault="00F57A44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Organizational Leadership Certificate</w:t>
      </w:r>
    </w:p>
    <w:p w14:paraId="46AEC389" w14:textId="77777777" w:rsidR="009960DD" w:rsidRPr="001F45A8" w:rsidRDefault="009960DD" w:rsidP="00CD31BF">
      <w:pPr>
        <w:pStyle w:val="Default"/>
        <w:rPr>
          <w:rFonts w:asciiTheme="minorHAnsi" w:hAnsiTheme="minorHAnsi" w:cstheme="minorHAnsi"/>
        </w:rPr>
      </w:pPr>
    </w:p>
    <w:p w14:paraId="399032FD" w14:textId="77777777" w:rsidR="00302EDD" w:rsidRDefault="00F12838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Please provide details on Personnel, FTE directly supported by the budget and reallocation of pers</w:t>
      </w:r>
      <w:bookmarkStart w:id="0" w:name="_GoBack"/>
      <w:bookmarkEnd w:id="0"/>
      <w:r w:rsidRPr="001F45A8">
        <w:rPr>
          <w:rFonts w:asciiTheme="minorHAnsi" w:eastAsia="Arial" w:hAnsiTheme="minorHAnsi" w:cstheme="minorHAnsi"/>
        </w:rPr>
        <w:t>onnel if appropriate</w:t>
      </w:r>
      <w:r w:rsidR="00302EDD">
        <w:rPr>
          <w:rFonts w:asciiTheme="minorHAnsi" w:eastAsia="Arial" w:hAnsiTheme="minorHAnsi" w:cstheme="minorHAnsi"/>
        </w:rPr>
        <w:t>.</w:t>
      </w:r>
    </w:p>
    <w:p w14:paraId="6C00F40A" w14:textId="77777777" w:rsidR="00D40160" w:rsidRPr="001F45A8" w:rsidRDefault="00D40160">
      <w:pPr>
        <w:pStyle w:val="Default"/>
        <w:rPr>
          <w:rFonts w:asciiTheme="minorHAnsi" w:eastAsia="Arial" w:hAnsiTheme="minorHAnsi" w:cstheme="minorHAnsi"/>
        </w:rPr>
      </w:pPr>
    </w:p>
    <w:p w14:paraId="7B9F258E" w14:textId="77777777" w:rsidR="00FA7398" w:rsidRPr="001F45A8" w:rsidRDefault="00FA7398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  <w:b/>
          <w:bCs/>
          <w:u w:val="single"/>
        </w:rPr>
        <w:t>Personnel</w:t>
      </w:r>
      <w:r w:rsidRPr="001F45A8">
        <w:rPr>
          <w:rFonts w:asciiTheme="minorHAnsi" w:eastAsia="Arial" w:hAnsiTheme="minorHAnsi" w:cstheme="minorHAnsi"/>
        </w:rPr>
        <w:t>:</w:t>
      </w:r>
      <w:r w:rsidR="00F12838" w:rsidRPr="001F45A8">
        <w:rPr>
          <w:rFonts w:asciiTheme="minorHAnsi" w:eastAsia="Arial" w:hAnsiTheme="minorHAnsi" w:cstheme="minorHAnsi"/>
        </w:rPr>
        <w:t xml:space="preserve"> </w:t>
      </w:r>
    </w:p>
    <w:p w14:paraId="2370B797" w14:textId="77777777" w:rsidR="00FA7398" w:rsidRPr="001F45A8" w:rsidRDefault="00FA7398" w:rsidP="00CD31BF">
      <w:pPr>
        <w:pStyle w:val="Default"/>
        <w:rPr>
          <w:rFonts w:asciiTheme="minorHAnsi" w:hAnsiTheme="minorHAnsi" w:cstheme="minorHAnsi"/>
        </w:rPr>
      </w:pPr>
    </w:p>
    <w:p w14:paraId="37B6D84B" w14:textId="603B667E" w:rsidR="000D31CB" w:rsidRDefault="000F29E3" w:rsidP="000D31CB">
      <w:pPr>
        <w:pStyle w:val="Default"/>
        <w:rPr>
          <w:rFonts w:asciiTheme="minorHAnsi" w:eastAsia="Arial" w:hAnsiTheme="minorHAnsi" w:cstheme="minorHAnsi"/>
        </w:rPr>
      </w:pPr>
      <w:r>
        <w:rPr>
          <w:noProof/>
        </w:rPr>
        <w:drawing>
          <wp:inline distT="0" distB="0" distL="0" distR="0" wp14:anchorId="61D7CD35" wp14:editId="7C2D2FDC">
            <wp:extent cx="5943600" cy="3980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B1E83" w14:textId="239E8060" w:rsidR="000D31CB" w:rsidRDefault="000D31CB" w:rsidP="000D31CB">
      <w:pPr>
        <w:pStyle w:val="Default"/>
        <w:rPr>
          <w:rFonts w:asciiTheme="minorHAnsi" w:eastAsia="Arial" w:hAnsiTheme="minorHAnsi" w:cstheme="minorHAnsi"/>
        </w:rPr>
      </w:pPr>
    </w:p>
    <w:p w14:paraId="12AFB539" w14:textId="7C986C79" w:rsidR="000D31CB" w:rsidRDefault="000D31CB" w:rsidP="000D31CB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NOTES:</w:t>
      </w:r>
    </w:p>
    <w:p w14:paraId="4044A2B7" w14:textId="7A064AA2" w:rsidR="000F29E3" w:rsidRDefault="000D31CB" w:rsidP="000F29E3">
      <w:pPr>
        <w:pStyle w:val="Default"/>
        <w:numPr>
          <w:ilvl w:val="0"/>
          <w:numId w:val="3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Projected enrollment can be absorbed into existing course offerings in years 1 and 2 – no added instructional resources are required.  </w:t>
      </w:r>
    </w:p>
    <w:p w14:paraId="7003B955" w14:textId="360428EC" w:rsidR="000F29E3" w:rsidRDefault="000D31CB" w:rsidP="000F29E3">
      <w:pPr>
        <w:pStyle w:val="Default"/>
        <w:numPr>
          <w:ilvl w:val="0"/>
          <w:numId w:val="3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Starting year 3, we would need to add one section of each of the seven courses.  </w:t>
      </w:r>
      <w:r w:rsidR="00F32BC5">
        <w:rPr>
          <w:rFonts w:asciiTheme="minorHAnsi" w:eastAsia="Arial" w:hAnsiTheme="minorHAnsi" w:cstheme="minorHAnsi"/>
        </w:rPr>
        <w:t>We project steady-state to be achieved in year five.</w:t>
      </w:r>
    </w:p>
    <w:p w14:paraId="58A2C8A3" w14:textId="3A4FC04C" w:rsidR="00F32BC5" w:rsidRDefault="00F32BC5" w:rsidP="000F29E3">
      <w:pPr>
        <w:pStyle w:val="Default"/>
        <w:numPr>
          <w:ilvl w:val="0"/>
          <w:numId w:val="3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We estimated the FTE for academic advising based on the university goal for student-to-advisor ratio of 350:1.  Thus, the total headcount for a given year was divided by 350 to achieve the advisor FTE.</w:t>
      </w:r>
    </w:p>
    <w:p w14:paraId="5B427505" w14:textId="77777777" w:rsidR="000F29E3" w:rsidRDefault="000F29E3" w:rsidP="000F29E3">
      <w:pPr>
        <w:pStyle w:val="Default"/>
        <w:numPr>
          <w:ilvl w:val="0"/>
          <w:numId w:val="3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We presumed a 3% increase in salaries per year.</w:t>
      </w:r>
    </w:p>
    <w:p w14:paraId="7E865AA2" w14:textId="1AD6C60F" w:rsidR="000D31CB" w:rsidRDefault="000F29E3" w:rsidP="000F29E3">
      <w:pPr>
        <w:pStyle w:val="Default"/>
        <w:numPr>
          <w:ilvl w:val="0"/>
          <w:numId w:val="3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We used OPE rates from the Research Office web site</w:t>
      </w:r>
      <w:r w:rsidR="00F32BC5">
        <w:rPr>
          <w:rStyle w:val="FootnoteReference"/>
          <w:rFonts w:asciiTheme="minorHAnsi" w:eastAsia="Arial" w:hAnsiTheme="minorHAnsi" w:cstheme="minorHAnsi"/>
        </w:rPr>
        <w:footnoteReference w:id="1"/>
      </w:r>
      <w:r>
        <w:rPr>
          <w:rFonts w:asciiTheme="minorHAnsi" w:eastAsia="Arial" w:hAnsiTheme="minorHAnsi" w:cstheme="minorHAnsi"/>
        </w:rPr>
        <w:t xml:space="preserve">, and extrapolated those rates </w:t>
      </w:r>
      <w:r w:rsidR="00F32BC5">
        <w:rPr>
          <w:rFonts w:asciiTheme="minorHAnsi" w:eastAsia="Arial" w:hAnsiTheme="minorHAnsi" w:cstheme="minorHAnsi"/>
        </w:rPr>
        <w:t>for future fiscal years.</w:t>
      </w:r>
    </w:p>
    <w:p w14:paraId="6917BF4C" w14:textId="77777777" w:rsidR="000D31CB" w:rsidRPr="001F45A8" w:rsidRDefault="000D31CB" w:rsidP="000D31CB">
      <w:pPr>
        <w:pStyle w:val="Default"/>
        <w:rPr>
          <w:rFonts w:asciiTheme="minorHAnsi" w:eastAsia="Arial" w:hAnsiTheme="minorHAnsi" w:cstheme="minorHAnsi"/>
        </w:rPr>
      </w:pPr>
    </w:p>
    <w:p w14:paraId="6C56B5C3" w14:textId="77777777"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  <w:r w:rsidRPr="001F45A8">
        <w:rPr>
          <w:rFonts w:asciiTheme="minorHAnsi" w:hAnsiTheme="minorHAnsi" w:cstheme="minorHAnsi"/>
          <w:b/>
          <w:u w:val="single"/>
        </w:rPr>
        <w:t>Other Expenses</w:t>
      </w:r>
      <w:r w:rsidRPr="001F45A8">
        <w:rPr>
          <w:rFonts w:asciiTheme="minorHAnsi" w:hAnsiTheme="minorHAnsi" w:cstheme="minorHAnsi"/>
        </w:rPr>
        <w:t>:</w:t>
      </w:r>
    </w:p>
    <w:p w14:paraId="5587F3D2" w14:textId="77777777"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</w:p>
    <w:p w14:paraId="3974D363" w14:textId="4F2B65B2" w:rsidR="00091BB1" w:rsidRPr="001F45A8" w:rsidRDefault="000D31CB" w:rsidP="00CD31BF">
      <w:pPr>
        <w:pStyle w:val="Default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None:  The college has a marketing and communications unit that maintains our web site.  There will be no additional expenses associated with adding the certificate to our existing web pages.</w:t>
      </w:r>
      <w:r w:rsidR="00F32BC5">
        <w:rPr>
          <w:rFonts w:asciiTheme="minorHAnsi" w:eastAsia="Arial" w:hAnsiTheme="minorHAnsi" w:cstheme="minorHAnsi"/>
        </w:rPr>
        <w:t xml:space="preserve">  We do not envision creating physical collateral – all information pertaining to the certificate will be in electronic form. </w:t>
      </w:r>
    </w:p>
    <w:p w14:paraId="51DE45F2" w14:textId="77777777" w:rsidR="00091BB1" w:rsidRPr="001F45A8" w:rsidRDefault="00091BB1" w:rsidP="002E775C">
      <w:pPr>
        <w:pStyle w:val="Default"/>
        <w:rPr>
          <w:rFonts w:asciiTheme="minorHAnsi" w:eastAsia="Arial" w:hAnsiTheme="minorHAnsi" w:cstheme="minorHAnsi"/>
        </w:rPr>
      </w:pPr>
    </w:p>
    <w:p w14:paraId="214BB938" w14:textId="77777777" w:rsidR="00091BB1" w:rsidRPr="001F45A8" w:rsidRDefault="00091BB1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  <w:b/>
          <w:bCs/>
          <w:u w:val="single"/>
        </w:rPr>
        <w:t>Resources</w:t>
      </w:r>
      <w:r w:rsidRPr="001F45A8">
        <w:rPr>
          <w:rFonts w:asciiTheme="minorHAnsi" w:eastAsia="Arial" w:hAnsiTheme="minorHAnsi" w:cstheme="minorHAnsi"/>
        </w:rPr>
        <w:t>:</w:t>
      </w:r>
      <w:r w:rsidR="00F12838" w:rsidRPr="001F45A8">
        <w:rPr>
          <w:rFonts w:asciiTheme="minorHAnsi" w:eastAsia="Arial" w:hAnsiTheme="minorHAnsi" w:cstheme="minorHAnsi"/>
        </w:rPr>
        <w:t xml:space="preserve"> Please identify and explain sources of all funds and highlight whether they are recurring or one time. </w:t>
      </w:r>
    </w:p>
    <w:p w14:paraId="710D6000" w14:textId="77777777" w:rsidR="008256FC" w:rsidRPr="001F45A8" w:rsidRDefault="008256FC" w:rsidP="00CD31BF">
      <w:pPr>
        <w:pStyle w:val="Default"/>
        <w:rPr>
          <w:rFonts w:asciiTheme="minorHAnsi" w:hAnsiTheme="minorHAnsi" w:cstheme="minorHAnsi"/>
        </w:rPr>
      </w:pPr>
    </w:p>
    <w:p w14:paraId="2928C4DB" w14:textId="64CF385A" w:rsidR="00234696" w:rsidRDefault="00091BB1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Current Budget:</w:t>
      </w:r>
      <w:r w:rsidR="00302EDD">
        <w:rPr>
          <w:rFonts w:asciiTheme="minorHAnsi" w:eastAsia="Arial" w:hAnsiTheme="minorHAnsi" w:cstheme="minorHAnsi"/>
        </w:rPr>
        <w:t xml:space="preserve"> </w:t>
      </w:r>
      <w:r w:rsidR="586FFDD2" w:rsidRPr="001F45A8">
        <w:rPr>
          <w:rFonts w:asciiTheme="minorHAnsi" w:eastAsia="Arial" w:hAnsiTheme="minorHAnsi" w:cstheme="minorHAnsi"/>
        </w:rPr>
        <w:t>E and G funds and e- campus revenue will be used to support the new program and cover expens</w:t>
      </w:r>
      <w:r w:rsidR="4B921CDA" w:rsidRPr="001F45A8">
        <w:rPr>
          <w:rFonts w:asciiTheme="minorHAnsi" w:eastAsia="Arial" w:hAnsiTheme="minorHAnsi" w:cstheme="minorHAnsi"/>
        </w:rPr>
        <w:t>es.</w:t>
      </w:r>
    </w:p>
    <w:p w14:paraId="7CB1BC65" w14:textId="49955784" w:rsidR="00F32BC5" w:rsidRDefault="00F32BC5">
      <w:pPr>
        <w:pStyle w:val="Default"/>
        <w:rPr>
          <w:rFonts w:asciiTheme="minorHAnsi" w:eastAsia="Arial" w:hAnsiTheme="minorHAnsi" w:cstheme="minorHAnsi"/>
        </w:rPr>
      </w:pPr>
    </w:p>
    <w:p w14:paraId="014B414B" w14:textId="6F1C461C" w:rsidR="00F32BC5" w:rsidRDefault="00F32BC5">
      <w:pPr>
        <w:pStyle w:val="Default"/>
        <w:rPr>
          <w:rFonts w:asciiTheme="minorHAnsi" w:eastAsia="Arial" w:hAnsiTheme="minorHAnsi" w:cstheme="minorHAnsi"/>
        </w:rPr>
      </w:pPr>
      <w:r>
        <w:rPr>
          <w:noProof/>
        </w:rPr>
        <w:drawing>
          <wp:inline distT="0" distB="0" distL="0" distR="0" wp14:anchorId="112320C8" wp14:editId="5CACE00D">
            <wp:extent cx="5943600" cy="7550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A95E3" w14:textId="77777777" w:rsidR="00F32BC5" w:rsidRDefault="00F32BC5">
      <w:pPr>
        <w:pStyle w:val="Default"/>
        <w:rPr>
          <w:rFonts w:asciiTheme="minorHAnsi" w:eastAsia="Arial" w:hAnsiTheme="minorHAnsi" w:cstheme="minorHAnsi"/>
        </w:rPr>
      </w:pPr>
    </w:p>
    <w:p w14:paraId="5731D542" w14:textId="62C0B6CA" w:rsidR="000D31CB" w:rsidRDefault="00F32BC5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NOTES:</w:t>
      </w:r>
    </w:p>
    <w:p w14:paraId="49C9B543" w14:textId="102C1401" w:rsidR="000D31CB" w:rsidRDefault="001A7BA1" w:rsidP="00727083">
      <w:pPr>
        <w:pStyle w:val="Default"/>
        <w:numPr>
          <w:ilvl w:val="0"/>
          <w:numId w:val="4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We as</w:t>
      </w:r>
      <w:r w:rsidR="000D31CB">
        <w:rPr>
          <w:rFonts w:asciiTheme="minorHAnsi" w:eastAsia="Arial" w:hAnsiTheme="minorHAnsi" w:cstheme="minorHAnsi"/>
        </w:rPr>
        <w:t xml:space="preserve">sume </w:t>
      </w:r>
      <w:r>
        <w:rPr>
          <w:rFonts w:asciiTheme="minorHAnsi" w:eastAsia="Arial" w:hAnsiTheme="minorHAnsi" w:cstheme="minorHAnsi"/>
        </w:rPr>
        <w:t>the</w:t>
      </w:r>
      <w:r w:rsidR="000D31CB">
        <w:rPr>
          <w:rFonts w:asciiTheme="minorHAnsi" w:eastAsia="Arial" w:hAnsiTheme="minorHAnsi" w:cstheme="minorHAnsi"/>
        </w:rPr>
        <w:t xml:space="preserve"> student</w:t>
      </w:r>
      <w:r>
        <w:rPr>
          <w:rFonts w:asciiTheme="minorHAnsi" w:eastAsia="Arial" w:hAnsiTheme="minorHAnsi" w:cstheme="minorHAnsi"/>
        </w:rPr>
        <w:t xml:space="preserve"> </w:t>
      </w:r>
      <w:r w:rsidR="003C4B2D">
        <w:rPr>
          <w:rFonts w:asciiTheme="minorHAnsi" w:eastAsia="Arial" w:hAnsiTheme="minorHAnsi" w:cstheme="minorHAnsi"/>
        </w:rPr>
        <w:t xml:space="preserve">mix will be 2/3 </w:t>
      </w:r>
      <w:proofErr w:type="spellStart"/>
      <w:r w:rsidR="000D31CB">
        <w:rPr>
          <w:rFonts w:asciiTheme="minorHAnsi" w:eastAsia="Arial" w:hAnsiTheme="minorHAnsi" w:cstheme="minorHAnsi"/>
        </w:rPr>
        <w:t>eCampus</w:t>
      </w:r>
      <w:proofErr w:type="spellEnd"/>
      <w:r w:rsidR="003C4B2D">
        <w:rPr>
          <w:rFonts w:asciiTheme="minorHAnsi" w:eastAsia="Arial" w:hAnsiTheme="minorHAnsi" w:cstheme="minorHAnsi"/>
        </w:rPr>
        <w:t xml:space="preserve"> (</w:t>
      </w:r>
      <w:r w:rsidR="000D31CB">
        <w:rPr>
          <w:rFonts w:asciiTheme="minorHAnsi" w:eastAsia="Arial" w:hAnsiTheme="minorHAnsi" w:cstheme="minorHAnsi"/>
        </w:rPr>
        <w:t>rate of $150 per SCH</w:t>
      </w:r>
      <w:r w:rsidR="003C4B2D">
        <w:rPr>
          <w:rFonts w:asciiTheme="minorHAnsi" w:eastAsia="Arial" w:hAnsiTheme="minorHAnsi" w:cstheme="minorHAnsi"/>
        </w:rPr>
        <w:t>) and 1/3 on-campus (rate of $190 per SCH from budget model).  Thus, we used $163.33 per SCH for tuition revenue projections.  We increased tuition by 3% per year</w:t>
      </w:r>
      <w:r w:rsidR="000D31CB">
        <w:rPr>
          <w:rFonts w:asciiTheme="minorHAnsi" w:eastAsia="Arial" w:hAnsiTheme="minorHAnsi" w:cstheme="minorHAnsi"/>
        </w:rPr>
        <w:t>.</w:t>
      </w:r>
    </w:p>
    <w:p w14:paraId="060835AC" w14:textId="441930E8" w:rsidR="003C4B2D" w:rsidRDefault="003C4B2D" w:rsidP="00727083">
      <w:pPr>
        <w:pStyle w:val="Default"/>
        <w:numPr>
          <w:ilvl w:val="0"/>
          <w:numId w:val="4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Completion bonus is estimated at 1/5 of the budget model allocation of $3935 per student = $787 per graduate.</w:t>
      </w:r>
    </w:p>
    <w:p w14:paraId="36C26616" w14:textId="5AD3345B" w:rsidR="000D31CB" w:rsidRDefault="000D31CB">
      <w:pPr>
        <w:pStyle w:val="Default"/>
        <w:rPr>
          <w:rFonts w:asciiTheme="minorHAnsi" w:eastAsia="Arial" w:hAnsiTheme="minorHAnsi" w:cstheme="minorHAnsi"/>
        </w:rPr>
      </w:pPr>
    </w:p>
    <w:p w14:paraId="1C14CBEB" w14:textId="2489FE4D" w:rsidR="2E3B8D7E" w:rsidRDefault="00091BB1" w:rsidP="002E775C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Tuition</w:t>
      </w:r>
      <w:r w:rsidR="4B921CDA" w:rsidRPr="001F45A8">
        <w:rPr>
          <w:rFonts w:asciiTheme="minorHAnsi" w:eastAsia="Arial" w:hAnsiTheme="minorHAnsi" w:cstheme="minorHAnsi"/>
        </w:rPr>
        <w:t xml:space="preserve"> remission support (for Graduate Programs only):</w:t>
      </w:r>
      <w:r w:rsidR="00302EDD">
        <w:rPr>
          <w:rFonts w:asciiTheme="minorHAnsi" w:eastAsia="Arial" w:hAnsiTheme="minorHAnsi" w:cstheme="minorHAnsi"/>
        </w:rPr>
        <w:t xml:space="preserve"> </w:t>
      </w:r>
      <w:r w:rsidR="2E3B8D7E" w:rsidRPr="001F45A8">
        <w:rPr>
          <w:rFonts w:asciiTheme="minorHAnsi" w:eastAsia="Arial" w:hAnsiTheme="minorHAnsi" w:cstheme="minorHAnsi"/>
        </w:rPr>
        <w:t>Graduate school, Laurels and Block Grant awards and other Grants</w:t>
      </w:r>
      <w:r w:rsidR="003C4B2D">
        <w:rPr>
          <w:rFonts w:asciiTheme="minorHAnsi" w:eastAsia="Arial" w:hAnsiTheme="minorHAnsi" w:cstheme="minorHAnsi"/>
        </w:rPr>
        <w:t xml:space="preserve"> – not applicable.</w:t>
      </w:r>
    </w:p>
    <w:p w14:paraId="6F05560A" w14:textId="77777777" w:rsidR="003C4B2D" w:rsidRPr="001F45A8" w:rsidRDefault="003C4B2D" w:rsidP="002E775C">
      <w:pPr>
        <w:pStyle w:val="Default"/>
        <w:rPr>
          <w:rFonts w:asciiTheme="minorHAnsi" w:eastAsia="Arial" w:hAnsiTheme="minorHAnsi" w:cstheme="minorHAnsi"/>
        </w:rPr>
      </w:pPr>
    </w:p>
    <w:p w14:paraId="64DFBF59" w14:textId="77777777" w:rsidR="008256FC" w:rsidRPr="001F45A8" w:rsidRDefault="00091BB1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Other:</w:t>
      </w:r>
      <w:r w:rsidR="00302EDD">
        <w:rPr>
          <w:rFonts w:asciiTheme="minorHAnsi" w:eastAsia="Arial" w:hAnsiTheme="minorHAnsi" w:cstheme="minorHAnsi"/>
        </w:rPr>
        <w:t xml:space="preserve"> </w:t>
      </w:r>
      <w:r w:rsidR="5A845F4C" w:rsidRPr="001F45A8">
        <w:rPr>
          <w:rFonts w:asciiTheme="minorHAnsi" w:eastAsia="Arial" w:hAnsiTheme="minorHAnsi" w:cstheme="minorHAnsi"/>
        </w:rPr>
        <w:t>Describe other resources including endowments and any special appropriations.</w:t>
      </w:r>
    </w:p>
    <w:p w14:paraId="76BCB662" w14:textId="77777777" w:rsidR="008256FC" w:rsidRPr="001F45A8" w:rsidRDefault="008256FC">
      <w:pPr>
        <w:pStyle w:val="Default"/>
        <w:rPr>
          <w:rFonts w:asciiTheme="minorHAnsi" w:eastAsia="Arial" w:hAnsiTheme="minorHAnsi" w:cstheme="minorHAnsi"/>
        </w:rPr>
      </w:pPr>
    </w:p>
    <w:p w14:paraId="40ADD3E0" w14:textId="5CED8313" w:rsidR="00A2464A" w:rsidRDefault="737A0DBB">
      <w:pPr>
        <w:rPr>
          <w:rFonts w:eastAsia="Arial" w:cstheme="minorHAnsi"/>
          <w:b/>
          <w:bCs/>
          <w:color w:val="000000"/>
          <w:sz w:val="24"/>
          <w:szCs w:val="24"/>
        </w:rPr>
      </w:pPr>
      <w:r w:rsidRPr="001F45A8">
        <w:rPr>
          <w:rFonts w:eastAsia="Arial" w:cstheme="minorHAnsi"/>
          <w:b/>
          <w:bCs/>
          <w:color w:val="000000"/>
          <w:sz w:val="24"/>
          <w:szCs w:val="24"/>
        </w:rPr>
        <w:t>Finally: Show that Expenses = or are less than Resources</w:t>
      </w:r>
    </w:p>
    <w:p w14:paraId="1ECA4519" w14:textId="3809CD9A" w:rsidR="003C4B2D" w:rsidRPr="001F45A8" w:rsidRDefault="003C4B2D">
      <w:pPr>
        <w:rPr>
          <w:rFonts w:eastAsia="Arial" w:cstheme="minorHAnsi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B2160CA" wp14:editId="72185475">
            <wp:extent cx="5943600" cy="610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5FF08" w14:textId="1867DAF4" w:rsidR="00CA0C3C" w:rsidRPr="003C4B2D" w:rsidRDefault="003C4B2D">
      <w:pPr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Being able to absorb the first two years of enrollment into existing slack enable us to accumulate revenue to offset the losses in years 3 and 4.  When steady state is achieved in year 5, the program will generate revenue to the college.</w:t>
      </w:r>
    </w:p>
    <w:sectPr w:rsidR="00CA0C3C" w:rsidRPr="003C4B2D" w:rsidSect="0038677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C09A6" w14:textId="77777777" w:rsidR="005F10C5" w:rsidRDefault="005F10C5" w:rsidP="00CE7FC2">
      <w:pPr>
        <w:spacing w:after="0" w:line="240" w:lineRule="auto"/>
      </w:pPr>
      <w:r>
        <w:separator/>
      </w:r>
    </w:p>
  </w:endnote>
  <w:endnote w:type="continuationSeparator" w:id="0">
    <w:p w14:paraId="2554EF81" w14:textId="77777777" w:rsidR="005F10C5" w:rsidRDefault="005F10C5" w:rsidP="00CE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18FB" w14:textId="77777777" w:rsidR="005F10C5" w:rsidRDefault="005F10C5" w:rsidP="00CE7FC2">
      <w:pPr>
        <w:spacing w:after="0" w:line="240" w:lineRule="auto"/>
      </w:pPr>
      <w:r>
        <w:separator/>
      </w:r>
    </w:p>
  </w:footnote>
  <w:footnote w:type="continuationSeparator" w:id="0">
    <w:p w14:paraId="2A8C6637" w14:textId="77777777" w:rsidR="005F10C5" w:rsidRDefault="005F10C5" w:rsidP="00CE7FC2">
      <w:pPr>
        <w:spacing w:after="0" w:line="240" w:lineRule="auto"/>
      </w:pPr>
      <w:r>
        <w:continuationSeparator/>
      </w:r>
    </w:p>
  </w:footnote>
  <w:footnote w:id="1">
    <w:p w14:paraId="5B93E160" w14:textId="5B6B6FAE" w:rsidR="00F32BC5" w:rsidRDefault="00F32B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Other Payroll Expense (OPE) Information and Estimated Rates | Research Office | Oregon State University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2889"/>
    <w:multiLevelType w:val="hybridMultilevel"/>
    <w:tmpl w:val="A618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CEF"/>
    <w:multiLevelType w:val="hybridMultilevel"/>
    <w:tmpl w:val="7D5E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12C7A"/>
    <w:multiLevelType w:val="hybridMultilevel"/>
    <w:tmpl w:val="EEC2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41234"/>
    <w:multiLevelType w:val="hybridMultilevel"/>
    <w:tmpl w:val="24D093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BF"/>
    <w:rsid w:val="00091BB1"/>
    <w:rsid w:val="000D31CB"/>
    <w:rsid w:val="000F29E3"/>
    <w:rsid w:val="001332A0"/>
    <w:rsid w:val="00141B87"/>
    <w:rsid w:val="0015114B"/>
    <w:rsid w:val="001627EF"/>
    <w:rsid w:val="001A7BA1"/>
    <w:rsid w:val="001E6631"/>
    <w:rsid w:val="001F45A8"/>
    <w:rsid w:val="00214665"/>
    <w:rsid w:val="00220D59"/>
    <w:rsid w:val="00234696"/>
    <w:rsid w:val="002A3332"/>
    <w:rsid w:val="002B7294"/>
    <w:rsid w:val="002E775C"/>
    <w:rsid w:val="00302EDD"/>
    <w:rsid w:val="0035688B"/>
    <w:rsid w:val="00370BF3"/>
    <w:rsid w:val="0038677D"/>
    <w:rsid w:val="003C4B2D"/>
    <w:rsid w:val="003D32EE"/>
    <w:rsid w:val="003F62BC"/>
    <w:rsid w:val="00421C42"/>
    <w:rsid w:val="00473446"/>
    <w:rsid w:val="0054751B"/>
    <w:rsid w:val="005834C4"/>
    <w:rsid w:val="005D0AAB"/>
    <w:rsid w:val="005F10C5"/>
    <w:rsid w:val="006063BD"/>
    <w:rsid w:val="00683972"/>
    <w:rsid w:val="00684189"/>
    <w:rsid w:val="006F3BEC"/>
    <w:rsid w:val="00727083"/>
    <w:rsid w:val="00773634"/>
    <w:rsid w:val="0078526E"/>
    <w:rsid w:val="007F7F13"/>
    <w:rsid w:val="008256FC"/>
    <w:rsid w:val="008709A3"/>
    <w:rsid w:val="008F1446"/>
    <w:rsid w:val="00903C6F"/>
    <w:rsid w:val="009960DD"/>
    <w:rsid w:val="009E7180"/>
    <w:rsid w:val="00A2464A"/>
    <w:rsid w:val="00B038F1"/>
    <w:rsid w:val="00B15A53"/>
    <w:rsid w:val="00B17B49"/>
    <w:rsid w:val="00B21A56"/>
    <w:rsid w:val="00B96201"/>
    <w:rsid w:val="00BC14B8"/>
    <w:rsid w:val="00BF526C"/>
    <w:rsid w:val="00C23EAE"/>
    <w:rsid w:val="00C605FF"/>
    <w:rsid w:val="00C63944"/>
    <w:rsid w:val="00CA0C3C"/>
    <w:rsid w:val="00CD31BF"/>
    <w:rsid w:val="00CE7FC2"/>
    <w:rsid w:val="00D34837"/>
    <w:rsid w:val="00D40160"/>
    <w:rsid w:val="00D65AA1"/>
    <w:rsid w:val="00E40904"/>
    <w:rsid w:val="00E72356"/>
    <w:rsid w:val="00ED44D0"/>
    <w:rsid w:val="00F05BBD"/>
    <w:rsid w:val="00F12838"/>
    <w:rsid w:val="00F32BC5"/>
    <w:rsid w:val="00F57A44"/>
    <w:rsid w:val="00FA7398"/>
    <w:rsid w:val="00FC6A29"/>
    <w:rsid w:val="014A07E5"/>
    <w:rsid w:val="1233BF7E"/>
    <w:rsid w:val="19A63864"/>
    <w:rsid w:val="1F5A4C67"/>
    <w:rsid w:val="243772DB"/>
    <w:rsid w:val="2BD9CD88"/>
    <w:rsid w:val="2E3B8D7E"/>
    <w:rsid w:val="36CB554C"/>
    <w:rsid w:val="40447225"/>
    <w:rsid w:val="4623BC1E"/>
    <w:rsid w:val="4B921CDA"/>
    <w:rsid w:val="4F7F79C6"/>
    <w:rsid w:val="50BF245A"/>
    <w:rsid w:val="586FFDD2"/>
    <w:rsid w:val="5A845F4C"/>
    <w:rsid w:val="64FF8334"/>
    <w:rsid w:val="6DA2201B"/>
    <w:rsid w:val="737A0DBB"/>
    <w:rsid w:val="797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6790"/>
  <w15:docId w15:val="{C53A3F2E-3214-478E-8851-81B7D960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7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17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7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F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F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C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32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.oregonstate.edu/osraa/forms-and-rates/other-payroll-expense-ope-information-and-estimated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38FD-6F94-4F0E-A2E0-DF77E3BA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McIlvenny</dc:creator>
  <cp:lastModifiedBy>Calascibetta, Caitlin</cp:lastModifiedBy>
  <cp:revision>2</cp:revision>
  <cp:lastPrinted>2012-11-13T20:15:00Z</cp:lastPrinted>
  <dcterms:created xsi:type="dcterms:W3CDTF">2021-05-25T17:29:00Z</dcterms:created>
  <dcterms:modified xsi:type="dcterms:W3CDTF">2021-05-25T17:29:00Z</dcterms:modified>
</cp:coreProperties>
</file>