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75764" w14:textId="4F2F0116" w:rsidR="00946B76" w:rsidRPr="00041A5A" w:rsidRDefault="00946B76">
      <w:pPr>
        <w:rPr>
          <w:sz w:val="22"/>
          <w:szCs w:val="22"/>
        </w:rPr>
      </w:pPr>
      <w:r w:rsidRPr="00041A5A">
        <w:rPr>
          <w:sz w:val="22"/>
          <w:szCs w:val="22"/>
        </w:rPr>
        <w:t xml:space="preserve">To:   </w:t>
      </w:r>
      <w:r w:rsidR="00680354" w:rsidRPr="00041A5A">
        <w:rPr>
          <w:sz w:val="22"/>
          <w:szCs w:val="22"/>
        </w:rPr>
        <w:tab/>
      </w:r>
      <w:r w:rsidR="001E2D99">
        <w:rPr>
          <w:sz w:val="22"/>
          <w:szCs w:val="22"/>
        </w:rPr>
        <w:t>F. King Alexander</w:t>
      </w:r>
      <w:r w:rsidRPr="00041A5A">
        <w:rPr>
          <w:sz w:val="22"/>
          <w:szCs w:val="22"/>
        </w:rPr>
        <w:t>, President</w:t>
      </w:r>
    </w:p>
    <w:p w14:paraId="7D805D88" w14:textId="14AFB5E1" w:rsidR="00946B76" w:rsidRPr="00041A5A" w:rsidRDefault="00946B76">
      <w:pPr>
        <w:rPr>
          <w:sz w:val="22"/>
          <w:szCs w:val="22"/>
        </w:rPr>
      </w:pPr>
      <w:r w:rsidRPr="00041A5A">
        <w:rPr>
          <w:sz w:val="22"/>
          <w:szCs w:val="22"/>
        </w:rPr>
        <w:t xml:space="preserve">From: </w:t>
      </w:r>
      <w:r w:rsidR="00680354" w:rsidRPr="00041A5A">
        <w:rPr>
          <w:sz w:val="22"/>
          <w:szCs w:val="22"/>
        </w:rPr>
        <w:tab/>
      </w:r>
      <w:r w:rsidR="00F968C7">
        <w:rPr>
          <w:sz w:val="22"/>
          <w:szCs w:val="22"/>
        </w:rPr>
        <w:t>Allison Hurst</w:t>
      </w:r>
      <w:r w:rsidRPr="00041A5A">
        <w:rPr>
          <w:sz w:val="22"/>
          <w:szCs w:val="22"/>
        </w:rPr>
        <w:t xml:space="preserve">, Chair, </w:t>
      </w:r>
      <w:proofErr w:type="gramStart"/>
      <w:r w:rsidRPr="00041A5A">
        <w:rPr>
          <w:sz w:val="22"/>
          <w:szCs w:val="22"/>
        </w:rPr>
        <w:t>University</w:t>
      </w:r>
      <w:proofErr w:type="gramEnd"/>
      <w:r w:rsidRPr="00041A5A">
        <w:rPr>
          <w:sz w:val="22"/>
          <w:szCs w:val="22"/>
        </w:rPr>
        <w:t xml:space="preserve"> Budget Committee</w:t>
      </w:r>
    </w:p>
    <w:p w14:paraId="4091322D" w14:textId="5EC9C993" w:rsidR="00946B76" w:rsidRPr="00041A5A" w:rsidRDefault="00680354">
      <w:pPr>
        <w:rPr>
          <w:sz w:val="22"/>
          <w:szCs w:val="22"/>
        </w:rPr>
      </w:pPr>
      <w:r w:rsidRPr="00041A5A">
        <w:rPr>
          <w:sz w:val="22"/>
          <w:szCs w:val="22"/>
        </w:rPr>
        <w:t>Re:</w:t>
      </w:r>
      <w:r w:rsidRPr="00041A5A">
        <w:rPr>
          <w:sz w:val="22"/>
          <w:szCs w:val="22"/>
        </w:rPr>
        <w:tab/>
        <w:t xml:space="preserve">Recommendations for Tuition and Mandatory Fee Rates for </w:t>
      </w:r>
      <w:r w:rsidR="00EE503D" w:rsidRPr="00041A5A">
        <w:rPr>
          <w:sz w:val="22"/>
          <w:szCs w:val="22"/>
        </w:rPr>
        <w:t>20</w:t>
      </w:r>
      <w:r w:rsidR="00EE503D">
        <w:rPr>
          <w:sz w:val="22"/>
          <w:szCs w:val="22"/>
        </w:rPr>
        <w:t>21</w:t>
      </w:r>
      <w:r w:rsidRPr="00041A5A">
        <w:rPr>
          <w:sz w:val="22"/>
          <w:szCs w:val="22"/>
        </w:rPr>
        <w:t>-</w:t>
      </w:r>
      <w:r w:rsidR="00EE503D" w:rsidRPr="00041A5A">
        <w:rPr>
          <w:sz w:val="22"/>
          <w:szCs w:val="22"/>
        </w:rPr>
        <w:t>202</w:t>
      </w:r>
      <w:r w:rsidR="00EE503D">
        <w:rPr>
          <w:sz w:val="22"/>
          <w:szCs w:val="22"/>
        </w:rPr>
        <w:t>2</w:t>
      </w:r>
    </w:p>
    <w:p w14:paraId="1D3EC749" w14:textId="0C3A50D4" w:rsidR="00680354" w:rsidRPr="00041A5A" w:rsidRDefault="00680354">
      <w:pPr>
        <w:rPr>
          <w:sz w:val="22"/>
          <w:szCs w:val="22"/>
        </w:rPr>
      </w:pPr>
      <w:r w:rsidRPr="00041A5A">
        <w:rPr>
          <w:sz w:val="22"/>
          <w:szCs w:val="22"/>
        </w:rPr>
        <w:t>Cc:</w:t>
      </w:r>
      <w:r w:rsidRPr="00041A5A">
        <w:rPr>
          <w:sz w:val="22"/>
          <w:szCs w:val="22"/>
        </w:rPr>
        <w:tab/>
        <w:t>Edward Feser, Provost</w:t>
      </w:r>
      <w:r w:rsidR="00247544" w:rsidRPr="00041A5A">
        <w:rPr>
          <w:sz w:val="22"/>
          <w:szCs w:val="22"/>
        </w:rPr>
        <w:t xml:space="preserve"> and Executive Vice President</w:t>
      </w:r>
    </w:p>
    <w:p w14:paraId="0C6FF452" w14:textId="77777777" w:rsidR="00680354" w:rsidRPr="00041A5A" w:rsidRDefault="00680354">
      <w:pPr>
        <w:rPr>
          <w:sz w:val="22"/>
          <w:szCs w:val="22"/>
        </w:rPr>
      </w:pPr>
    </w:p>
    <w:p w14:paraId="3DFC9520" w14:textId="77777777" w:rsidR="00680354" w:rsidRPr="00041A5A" w:rsidRDefault="00680354">
      <w:pPr>
        <w:rPr>
          <w:b/>
          <w:sz w:val="22"/>
          <w:szCs w:val="22"/>
          <w:u w:val="single"/>
        </w:rPr>
      </w:pPr>
      <w:r w:rsidRPr="00041A5A">
        <w:rPr>
          <w:b/>
          <w:sz w:val="22"/>
          <w:szCs w:val="22"/>
          <w:u w:val="single"/>
        </w:rPr>
        <w:t>Summary:</w:t>
      </w:r>
    </w:p>
    <w:p w14:paraId="1DF1D454" w14:textId="77777777" w:rsidR="00680354" w:rsidRPr="00041A5A" w:rsidRDefault="00680354">
      <w:pPr>
        <w:rPr>
          <w:sz w:val="22"/>
          <w:szCs w:val="22"/>
        </w:rPr>
      </w:pPr>
    </w:p>
    <w:p w14:paraId="287CE088" w14:textId="7D4CDC4F" w:rsidR="002B38A1" w:rsidRPr="00041A5A" w:rsidRDefault="00680354">
      <w:pPr>
        <w:rPr>
          <w:sz w:val="22"/>
          <w:szCs w:val="22"/>
        </w:rPr>
      </w:pPr>
      <w:r w:rsidRPr="00041A5A">
        <w:rPr>
          <w:sz w:val="22"/>
          <w:szCs w:val="22"/>
        </w:rPr>
        <w:t>The University Budget Committee</w:t>
      </w:r>
      <w:r w:rsidR="00902EC9" w:rsidRPr="00041A5A">
        <w:rPr>
          <w:sz w:val="22"/>
          <w:szCs w:val="22"/>
        </w:rPr>
        <w:t xml:space="preserve"> (UBC)</w:t>
      </w:r>
      <w:r w:rsidRPr="00041A5A">
        <w:rPr>
          <w:sz w:val="22"/>
          <w:szCs w:val="22"/>
        </w:rPr>
        <w:t xml:space="preserve"> constitutes the </w:t>
      </w:r>
      <w:r w:rsidR="00902EC9" w:rsidRPr="00041A5A">
        <w:rPr>
          <w:sz w:val="22"/>
          <w:szCs w:val="22"/>
        </w:rPr>
        <w:t>tuition advisory body requ</w:t>
      </w:r>
      <w:r w:rsidR="00247544" w:rsidRPr="00041A5A">
        <w:rPr>
          <w:sz w:val="22"/>
          <w:szCs w:val="22"/>
        </w:rPr>
        <w:t xml:space="preserve">ired by </w:t>
      </w:r>
      <w:r w:rsidR="007A1496" w:rsidRPr="00041A5A">
        <w:rPr>
          <w:sz w:val="22"/>
          <w:szCs w:val="22"/>
        </w:rPr>
        <w:t>ORS 352.102</w:t>
      </w:r>
      <w:r w:rsidR="00902EC9" w:rsidRPr="00041A5A">
        <w:rPr>
          <w:sz w:val="22"/>
          <w:szCs w:val="22"/>
        </w:rPr>
        <w:t xml:space="preserve">.  </w:t>
      </w:r>
      <w:r w:rsidR="007A7CB8" w:rsidRPr="00041A5A">
        <w:rPr>
          <w:sz w:val="22"/>
          <w:szCs w:val="22"/>
        </w:rPr>
        <w:t>The</w:t>
      </w:r>
      <w:r w:rsidR="002B38A1" w:rsidRPr="00041A5A">
        <w:rPr>
          <w:sz w:val="22"/>
          <w:szCs w:val="22"/>
        </w:rPr>
        <w:t xml:space="preserve"> </w:t>
      </w:r>
      <w:r w:rsidR="00B5453C">
        <w:rPr>
          <w:sz w:val="22"/>
          <w:szCs w:val="22"/>
        </w:rPr>
        <w:t>UBC</w:t>
      </w:r>
      <w:r w:rsidR="002B38A1" w:rsidRPr="00041A5A">
        <w:rPr>
          <w:sz w:val="22"/>
          <w:szCs w:val="22"/>
        </w:rPr>
        <w:t xml:space="preserve"> recommends the f</w:t>
      </w:r>
      <w:bookmarkStart w:id="0" w:name="_GoBack"/>
      <w:bookmarkEnd w:id="0"/>
      <w:r w:rsidR="002B38A1" w:rsidRPr="00041A5A">
        <w:rPr>
          <w:sz w:val="22"/>
          <w:szCs w:val="22"/>
        </w:rPr>
        <w:t>ollowing rate changes in tuition and mandatory fees from 20</w:t>
      </w:r>
      <w:r w:rsidR="00F968C7">
        <w:rPr>
          <w:sz w:val="22"/>
          <w:szCs w:val="22"/>
        </w:rPr>
        <w:t>20</w:t>
      </w:r>
      <w:r w:rsidR="002B38A1" w:rsidRPr="00041A5A">
        <w:rPr>
          <w:sz w:val="22"/>
          <w:szCs w:val="22"/>
        </w:rPr>
        <w:t>-</w:t>
      </w:r>
      <w:r w:rsidR="003F470F">
        <w:rPr>
          <w:sz w:val="22"/>
          <w:szCs w:val="22"/>
        </w:rPr>
        <w:t>2</w:t>
      </w:r>
      <w:r w:rsidR="00F968C7">
        <w:rPr>
          <w:sz w:val="22"/>
          <w:szCs w:val="22"/>
        </w:rPr>
        <w:t>1</w:t>
      </w:r>
      <w:r w:rsidR="002B38A1" w:rsidRPr="00041A5A">
        <w:rPr>
          <w:sz w:val="22"/>
          <w:szCs w:val="22"/>
        </w:rPr>
        <w:t xml:space="preserve"> to 20</w:t>
      </w:r>
      <w:r w:rsidR="003F470F">
        <w:rPr>
          <w:sz w:val="22"/>
          <w:szCs w:val="22"/>
        </w:rPr>
        <w:t>2</w:t>
      </w:r>
      <w:r w:rsidR="00F968C7">
        <w:rPr>
          <w:sz w:val="22"/>
          <w:szCs w:val="22"/>
        </w:rPr>
        <w:t>1</w:t>
      </w:r>
      <w:r w:rsidR="002B38A1" w:rsidRPr="00041A5A">
        <w:rPr>
          <w:sz w:val="22"/>
          <w:szCs w:val="22"/>
        </w:rPr>
        <w:t>-2</w:t>
      </w:r>
      <w:r w:rsidR="00F968C7">
        <w:rPr>
          <w:sz w:val="22"/>
          <w:szCs w:val="22"/>
        </w:rPr>
        <w:t>2</w:t>
      </w:r>
      <w:r w:rsidR="001E2D99">
        <w:rPr>
          <w:sz w:val="22"/>
          <w:szCs w:val="22"/>
        </w:rPr>
        <w:t xml:space="preserve"> for your consideration in recommendations to the Board of Trustees.</w:t>
      </w:r>
    </w:p>
    <w:p w14:paraId="35BCC172" w14:textId="77777777" w:rsidR="00603C62" w:rsidRPr="00041A5A" w:rsidRDefault="00603C62">
      <w:pPr>
        <w:rPr>
          <w:sz w:val="22"/>
          <w:szCs w:val="22"/>
        </w:rPr>
      </w:pPr>
    </w:p>
    <w:tbl>
      <w:tblPr>
        <w:tblStyle w:val="TableGrid"/>
        <w:tblW w:w="0" w:type="auto"/>
        <w:tblLook w:val="04A0" w:firstRow="1" w:lastRow="0" w:firstColumn="1" w:lastColumn="0" w:noHBand="0" w:noVBand="1"/>
      </w:tblPr>
      <w:tblGrid>
        <w:gridCol w:w="3235"/>
        <w:gridCol w:w="1890"/>
        <w:gridCol w:w="4225"/>
      </w:tblGrid>
      <w:tr w:rsidR="000239D6" w:rsidRPr="003317FC" w14:paraId="16C9D380" w14:textId="77777777" w:rsidTr="00396ED1">
        <w:tc>
          <w:tcPr>
            <w:tcW w:w="3235" w:type="dxa"/>
          </w:tcPr>
          <w:p w14:paraId="7C3AE3AE" w14:textId="77777777" w:rsidR="000239D6" w:rsidRPr="003317FC" w:rsidRDefault="000239D6" w:rsidP="00555A85">
            <w:pPr>
              <w:rPr>
                <w:b/>
                <w:sz w:val="22"/>
                <w:szCs w:val="22"/>
              </w:rPr>
            </w:pPr>
            <w:r w:rsidRPr="003317FC">
              <w:rPr>
                <w:b/>
                <w:sz w:val="22"/>
                <w:szCs w:val="22"/>
              </w:rPr>
              <w:t>Rate</w:t>
            </w:r>
          </w:p>
        </w:tc>
        <w:tc>
          <w:tcPr>
            <w:tcW w:w="1890" w:type="dxa"/>
          </w:tcPr>
          <w:p w14:paraId="7A3D7BCD" w14:textId="77777777" w:rsidR="000239D6" w:rsidRPr="003317FC" w:rsidRDefault="000239D6" w:rsidP="00555A85">
            <w:pPr>
              <w:rPr>
                <w:b/>
                <w:sz w:val="22"/>
                <w:szCs w:val="22"/>
              </w:rPr>
            </w:pPr>
            <w:r w:rsidRPr="003317FC">
              <w:rPr>
                <w:b/>
                <w:sz w:val="22"/>
                <w:szCs w:val="22"/>
              </w:rPr>
              <w:t>Recommendation</w:t>
            </w:r>
          </w:p>
        </w:tc>
        <w:tc>
          <w:tcPr>
            <w:tcW w:w="4225" w:type="dxa"/>
          </w:tcPr>
          <w:p w14:paraId="23C34F66" w14:textId="77777777" w:rsidR="000239D6" w:rsidRPr="003317FC" w:rsidRDefault="000239D6" w:rsidP="00555A85">
            <w:pPr>
              <w:rPr>
                <w:b/>
                <w:sz w:val="22"/>
                <w:szCs w:val="22"/>
              </w:rPr>
            </w:pPr>
            <w:r w:rsidRPr="003317FC">
              <w:rPr>
                <w:b/>
                <w:sz w:val="22"/>
                <w:szCs w:val="22"/>
              </w:rPr>
              <w:t>Notes</w:t>
            </w:r>
          </w:p>
        </w:tc>
      </w:tr>
      <w:tr w:rsidR="000239D6" w:rsidRPr="003317FC" w14:paraId="433025D9" w14:textId="77777777" w:rsidTr="00396ED1">
        <w:tc>
          <w:tcPr>
            <w:tcW w:w="3235" w:type="dxa"/>
          </w:tcPr>
          <w:p w14:paraId="57C38800" w14:textId="77777777" w:rsidR="000239D6" w:rsidRPr="003317FC" w:rsidRDefault="000239D6" w:rsidP="00555A85">
            <w:pPr>
              <w:rPr>
                <w:sz w:val="22"/>
                <w:szCs w:val="22"/>
              </w:rPr>
            </w:pPr>
            <w:r w:rsidRPr="003317FC">
              <w:rPr>
                <w:sz w:val="22"/>
                <w:szCs w:val="22"/>
              </w:rPr>
              <w:t xml:space="preserve">Resident and non-resident undergraduate tuition </w:t>
            </w:r>
          </w:p>
        </w:tc>
        <w:tc>
          <w:tcPr>
            <w:tcW w:w="1890" w:type="dxa"/>
          </w:tcPr>
          <w:p w14:paraId="0345522D" w14:textId="543FC3BF" w:rsidR="000239D6" w:rsidRPr="003317FC" w:rsidRDefault="000239D6" w:rsidP="00555A85">
            <w:pPr>
              <w:rPr>
                <w:sz w:val="22"/>
                <w:szCs w:val="22"/>
              </w:rPr>
            </w:pPr>
            <w:r w:rsidRPr="003317FC">
              <w:rPr>
                <w:sz w:val="22"/>
                <w:szCs w:val="22"/>
              </w:rPr>
              <w:t>3.</w:t>
            </w:r>
            <w:r w:rsidR="006A1612">
              <w:rPr>
                <w:sz w:val="22"/>
                <w:szCs w:val="22"/>
              </w:rPr>
              <w:t>5</w:t>
            </w:r>
            <w:r w:rsidRPr="003317FC">
              <w:rPr>
                <w:sz w:val="22"/>
                <w:szCs w:val="22"/>
              </w:rPr>
              <w:t>%</w:t>
            </w:r>
          </w:p>
        </w:tc>
        <w:tc>
          <w:tcPr>
            <w:tcW w:w="4225" w:type="dxa"/>
          </w:tcPr>
          <w:p w14:paraId="156E4A96" w14:textId="49C90E13" w:rsidR="000239D6" w:rsidRPr="003317FC" w:rsidRDefault="006A1612" w:rsidP="00555A85">
            <w:pPr>
              <w:rPr>
                <w:sz w:val="22"/>
                <w:szCs w:val="22"/>
              </w:rPr>
            </w:pPr>
            <w:r>
              <w:rPr>
                <w:sz w:val="22"/>
                <w:szCs w:val="22"/>
              </w:rPr>
              <w:t>2.8</w:t>
            </w:r>
            <w:r w:rsidR="000239D6" w:rsidRPr="003317FC">
              <w:rPr>
                <w:sz w:val="22"/>
                <w:szCs w:val="22"/>
              </w:rPr>
              <w:t>%, 3.</w:t>
            </w:r>
            <w:r>
              <w:rPr>
                <w:sz w:val="22"/>
                <w:szCs w:val="22"/>
              </w:rPr>
              <w:t>5</w:t>
            </w:r>
            <w:r w:rsidR="000239D6" w:rsidRPr="003317FC">
              <w:rPr>
                <w:sz w:val="22"/>
                <w:szCs w:val="22"/>
              </w:rPr>
              <w:t>%, and 4.</w:t>
            </w:r>
            <w:r>
              <w:rPr>
                <w:sz w:val="22"/>
                <w:szCs w:val="22"/>
              </w:rPr>
              <w:t>1</w:t>
            </w:r>
            <w:r w:rsidR="000239D6" w:rsidRPr="003317FC">
              <w:rPr>
                <w:sz w:val="22"/>
                <w:szCs w:val="22"/>
              </w:rPr>
              <w:t>%</w:t>
            </w:r>
            <w:r w:rsidR="000239D6" w:rsidRPr="003317FC">
              <w:rPr>
                <w:rStyle w:val="FootnoteReference"/>
                <w:sz w:val="22"/>
                <w:szCs w:val="22"/>
              </w:rPr>
              <w:footnoteReference w:id="1"/>
            </w:r>
            <w:r w:rsidR="000239D6" w:rsidRPr="003317FC">
              <w:rPr>
                <w:sz w:val="22"/>
                <w:szCs w:val="22"/>
              </w:rPr>
              <w:t xml:space="preserve"> increase scenarios (see Table 1) are provided for discussion by the Board of Trustees</w:t>
            </w:r>
          </w:p>
        </w:tc>
      </w:tr>
      <w:tr w:rsidR="000239D6" w:rsidRPr="003317FC" w14:paraId="0FF7F62A" w14:textId="77777777" w:rsidTr="00396ED1">
        <w:tc>
          <w:tcPr>
            <w:tcW w:w="3235" w:type="dxa"/>
          </w:tcPr>
          <w:p w14:paraId="2928E002" w14:textId="77777777" w:rsidR="000239D6" w:rsidRPr="003317FC" w:rsidRDefault="000239D6" w:rsidP="00555A85">
            <w:pPr>
              <w:rPr>
                <w:sz w:val="22"/>
                <w:szCs w:val="22"/>
              </w:rPr>
            </w:pPr>
            <w:r w:rsidRPr="003317FC">
              <w:rPr>
                <w:sz w:val="22"/>
                <w:szCs w:val="22"/>
              </w:rPr>
              <w:t>Cascades resident undergraduate</w:t>
            </w:r>
          </w:p>
        </w:tc>
        <w:tc>
          <w:tcPr>
            <w:tcW w:w="1890" w:type="dxa"/>
          </w:tcPr>
          <w:p w14:paraId="20266EF7" w14:textId="69CD1FD0" w:rsidR="000239D6" w:rsidRPr="003317FC" w:rsidRDefault="006A1612" w:rsidP="00555A85">
            <w:pPr>
              <w:rPr>
                <w:sz w:val="22"/>
                <w:szCs w:val="22"/>
              </w:rPr>
            </w:pPr>
            <w:r>
              <w:rPr>
                <w:sz w:val="22"/>
                <w:szCs w:val="22"/>
              </w:rPr>
              <w:t>3.5%</w:t>
            </w:r>
          </w:p>
        </w:tc>
        <w:tc>
          <w:tcPr>
            <w:tcW w:w="4225" w:type="dxa"/>
          </w:tcPr>
          <w:p w14:paraId="7D7BC315" w14:textId="2593CB98" w:rsidR="000239D6" w:rsidRPr="003317FC" w:rsidRDefault="006A1612" w:rsidP="00555A85">
            <w:pPr>
              <w:rPr>
                <w:sz w:val="22"/>
                <w:szCs w:val="22"/>
              </w:rPr>
            </w:pPr>
            <w:r>
              <w:rPr>
                <w:sz w:val="22"/>
                <w:szCs w:val="22"/>
              </w:rPr>
              <w:t>Same as Corvallis</w:t>
            </w:r>
          </w:p>
        </w:tc>
      </w:tr>
      <w:tr w:rsidR="000239D6" w:rsidRPr="003317FC" w14:paraId="26512C29" w14:textId="77777777" w:rsidTr="00396ED1">
        <w:tc>
          <w:tcPr>
            <w:tcW w:w="3235" w:type="dxa"/>
          </w:tcPr>
          <w:p w14:paraId="36AB74B6" w14:textId="77777777" w:rsidR="000239D6" w:rsidRPr="003317FC" w:rsidRDefault="000239D6" w:rsidP="00555A85">
            <w:pPr>
              <w:rPr>
                <w:sz w:val="22"/>
                <w:szCs w:val="22"/>
              </w:rPr>
            </w:pPr>
            <w:r>
              <w:rPr>
                <w:sz w:val="22"/>
                <w:szCs w:val="22"/>
              </w:rPr>
              <w:t>Resident graduate tuition</w:t>
            </w:r>
          </w:p>
        </w:tc>
        <w:tc>
          <w:tcPr>
            <w:tcW w:w="1890" w:type="dxa"/>
          </w:tcPr>
          <w:p w14:paraId="6AA94095" w14:textId="4EAB6C5A" w:rsidR="000239D6" w:rsidRPr="003317FC" w:rsidRDefault="006A1612" w:rsidP="00555A85">
            <w:pPr>
              <w:rPr>
                <w:sz w:val="22"/>
                <w:szCs w:val="22"/>
              </w:rPr>
            </w:pPr>
            <w:r>
              <w:rPr>
                <w:sz w:val="22"/>
                <w:szCs w:val="22"/>
              </w:rPr>
              <w:t>1</w:t>
            </w:r>
            <w:r w:rsidR="000239D6">
              <w:rPr>
                <w:sz w:val="22"/>
                <w:szCs w:val="22"/>
              </w:rPr>
              <w:t>.5%</w:t>
            </w:r>
          </w:p>
        </w:tc>
        <w:tc>
          <w:tcPr>
            <w:tcW w:w="4225" w:type="dxa"/>
          </w:tcPr>
          <w:p w14:paraId="7A1F857E" w14:textId="3B3EE736" w:rsidR="000239D6" w:rsidRPr="003317FC" w:rsidRDefault="006A1612" w:rsidP="00555A85">
            <w:pPr>
              <w:rPr>
                <w:sz w:val="22"/>
                <w:szCs w:val="22"/>
              </w:rPr>
            </w:pPr>
            <w:r>
              <w:rPr>
                <w:sz w:val="22"/>
                <w:szCs w:val="22"/>
              </w:rPr>
              <w:t>Current r</w:t>
            </w:r>
            <w:r w:rsidR="000239D6">
              <w:rPr>
                <w:sz w:val="22"/>
                <w:szCs w:val="22"/>
              </w:rPr>
              <w:t>ate is higher than peers</w:t>
            </w:r>
          </w:p>
        </w:tc>
      </w:tr>
      <w:tr w:rsidR="000239D6" w:rsidRPr="003317FC" w14:paraId="0534F43A" w14:textId="77777777" w:rsidTr="00396ED1">
        <w:tc>
          <w:tcPr>
            <w:tcW w:w="3235" w:type="dxa"/>
          </w:tcPr>
          <w:p w14:paraId="1317DE44" w14:textId="77777777" w:rsidR="000239D6" w:rsidRPr="003317FC" w:rsidRDefault="000239D6" w:rsidP="00555A85">
            <w:pPr>
              <w:rPr>
                <w:sz w:val="22"/>
                <w:szCs w:val="22"/>
              </w:rPr>
            </w:pPr>
            <w:r>
              <w:rPr>
                <w:sz w:val="22"/>
                <w:szCs w:val="22"/>
              </w:rPr>
              <w:t>Non-resident graduate tuition</w:t>
            </w:r>
          </w:p>
        </w:tc>
        <w:tc>
          <w:tcPr>
            <w:tcW w:w="1890" w:type="dxa"/>
          </w:tcPr>
          <w:p w14:paraId="15B6811E" w14:textId="77777777" w:rsidR="000239D6" w:rsidRPr="003317FC" w:rsidRDefault="000239D6" w:rsidP="00555A85">
            <w:pPr>
              <w:rPr>
                <w:sz w:val="22"/>
                <w:szCs w:val="22"/>
              </w:rPr>
            </w:pPr>
            <w:r>
              <w:rPr>
                <w:sz w:val="22"/>
                <w:szCs w:val="22"/>
              </w:rPr>
              <w:t>4.5%</w:t>
            </w:r>
          </w:p>
        </w:tc>
        <w:tc>
          <w:tcPr>
            <w:tcW w:w="4225" w:type="dxa"/>
          </w:tcPr>
          <w:p w14:paraId="15840809" w14:textId="2F650EAC" w:rsidR="000239D6" w:rsidRPr="003317FC" w:rsidRDefault="006A1612" w:rsidP="00555A85">
            <w:pPr>
              <w:rPr>
                <w:sz w:val="22"/>
                <w:szCs w:val="22"/>
              </w:rPr>
            </w:pPr>
            <w:r>
              <w:rPr>
                <w:sz w:val="22"/>
                <w:szCs w:val="22"/>
              </w:rPr>
              <w:t>Current r</w:t>
            </w:r>
            <w:r w:rsidR="000239D6">
              <w:rPr>
                <w:sz w:val="22"/>
                <w:szCs w:val="22"/>
              </w:rPr>
              <w:t>ate is lower than peers</w:t>
            </w:r>
          </w:p>
        </w:tc>
      </w:tr>
      <w:tr w:rsidR="000239D6" w:rsidRPr="003317FC" w14:paraId="6003140C" w14:textId="77777777" w:rsidTr="00396ED1">
        <w:tc>
          <w:tcPr>
            <w:tcW w:w="3235" w:type="dxa"/>
          </w:tcPr>
          <w:p w14:paraId="5B89F5F6" w14:textId="77777777" w:rsidR="000239D6" w:rsidRPr="003317FC" w:rsidRDefault="000239D6" w:rsidP="00555A85">
            <w:pPr>
              <w:rPr>
                <w:sz w:val="22"/>
                <w:szCs w:val="22"/>
              </w:rPr>
            </w:pPr>
            <w:r>
              <w:rPr>
                <w:sz w:val="22"/>
                <w:szCs w:val="22"/>
              </w:rPr>
              <w:t>Professional tuition increases</w:t>
            </w:r>
          </w:p>
        </w:tc>
        <w:tc>
          <w:tcPr>
            <w:tcW w:w="1890" w:type="dxa"/>
          </w:tcPr>
          <w:p w14:paraId="56ADD49A" w14:textId="4B4964A6" w:rsidR="000239D6" w:rsidRPr="003317FC" w:rsidRDefault="000239D6" w:rsidP="00555A85">
            <w:pPr>
              <w:rPr>
                <w:sz w:val="22"/>
                <w:szCs w:val="22"/>
              </w:rPr>
            </w:pPr>
            <w:r>
              <w:rPr>
                <w:sz w:val="22"/>
                <w:szCs w:val="22"/>
              </w:rPr>
              <w:t xml:space="preserve">0% to </w:t>
            </w:r>
            <w:r w:rsidR="006A1612">
              <w:rPr>
                <w:sz w:val="22"/>
                <w:szCs w:val="22"/>
              </w:rPr>
              <w:t>4.5</w:t>
            </w:r>
            <w:r>
              <w:rPr>
                <w:sz w:val="22"/>
                <w:szCs w:val="22"/>
              </w:rPr>
              <w:t>%</w:t>
            </w:r>
          </w:p>
        </w:tc>
        <w:tc>
          <w:tcPr>
            <w:tcW w:w="4225" w:type="dxa"/>
          </w:tcPr>
          <w:p w14:paraId="65C209E9" w14:textId="77777777" w:rsidR="000239D6" w:rsidRPr="003317FC" w:rsidRDefault="000239D6" w:rsidP="00555A85">
            <w:pPr>
              <w:rPr>
                <w:sz w:val="22"/>
                <w:szCs w:val="22"/>
              </w:rPr>
            </w:pPr>
            <w:r>
              <w:rPr>
                <w:sz w:val="22"/>
                <w:szCs w:val="22"/>
              </w:rPr>
              <w:t>Depending on program (MBA, MFA at Cascades, Pharmacy, etc.)</w:t>
            </w:r>
          </w:p>
        </w:tc>
      </w:tr>
      <w:tr w:rsidR="000239D6" w:rsidRPr="003317FC" w14:paraId="6FBC4FB3" w14:textId="77777777" w:rsidTr="00396ED1">
        <w:tc>
          <w:tcPr>
            <w:tcW w:w="3235" w:type="dxa"/>
          </w:tcPr>
          <w:p w14:paraId="7124F97B" w14:textId="77777777" w:rsidR="000239D6" w:rsidRPr="003317FC" w:rsidRDefault="000239D6" w:rsidP="00555A85">
            <w:pPr>
              <w:rPr>
                <w:sz w:val="22"/>
                <w:szCs w:val="22"/>
              </w:rPr>
            </w:pPr>
            <w:r>
              <w:rPr>
                <w:sz w:val="22"/>
                <w:szCs w:val="22"/>
              </w:rPr>
              <w:t>Differential tuition</w:t>
            </w:r>
          </w:p>
        </w:tc>
        <w:tc>
          <w:tcPr>
            <w:tcW w:w="1890" w:type="dxa"/>
          </w:tcPr>
          <w:p w14:paraId="3283DDD1" w14:textId="77777777" w:rsidR="000239D6" w:rsidRPr="003317FC" w:rsidRDefault="000239D6" w:rsidP="00555A85">
            <w:pPr>
              <w:rPr>
                <w:sz w:val="22"/>
                <w:szCs w:val="22"/>
              </w:rPr>
            </w:pPr>
            <w:r>
              <w:rPr>
                <w:sz w:val="22"/>
                <w:szCs w:val="22"/>
              </w:rPr>
              <w:t>$1 to $2 per SCH</w:t>
            </w:r>
          </w:p>
        </w:tc>
        <w:tc>
          <w:tcPr>
            <w:tcW w:w="4225" w:type="dxa"/>
          </w:tcPr>
          <w:p w14:paraId="07E177C4" w14:textId="59A70DFE" w:rsidR="000239D6" w:rsidRPr="003317FC" w:rsidRDefault="000239D6" w:rsidP="00555A85">
            <w:pPr>
              <w:rPr>
                <w:sz w:val="22"/>
                <w:szCs w:val="22"/>
              </w:rPr>
            </w:pPr>
            <w:r>
              <w:rPr>
                <w:sz w:val="22"/>
                <w:szCs w:val="22"/>
              </w:rPr>
              <w:t xml:space="preserve">Inflationary increases in Business, Engineering, Forestry, Liberal Arts (Arts, Music, Theatre only) </w:t>
            </w:r>
          </w:p>
        </w:tc>
      </w:tr>
      <w:tr w:rsidR="000239D6" w:rsidRPr="003317FC" w14:paraId="1A4DDC9C" w14:textId="77777777" w:rsidTr="00396ED1">
        <w:tc>
          <w:tcPr>
            <w:tcW w:w="3235" w:type="dxa"/>
          </w:tcPr>
          <w:p w14:paraId="264A7A65" w14:textId="77777777" w:rsidR="000239D6" w:rsidRPr="003317FC" w:rsidRDefault="000239D6" w:rsidP="00555A85">
            <w:pPr>
              <w:rPr>
                <w:sz w:val="22"/>
                <w:szCs w:val="22"/>
              </w:rPr>
            </w:pPr>
            <w:r>
              <w:rPr>
                <w:sz w:val="22"/>
                <w:szCs w:val="22"/>
              </w:rPr>
              <w:t>Ecampus undergraduate base tuition</w:t>
            </w:r>
          </w:p>
        </w:tc>
        <w:tc>
          <w:tcPr>
            <w:tcW w:w="1890" w:type="dxa"/>
          </w:tcPr>
          <w:p w14:paraId="12462B9E" w14:textId="797E2524" w:rsidR="000239D6" w:rsidRPr="003317FC" w:rsidRDefault="000239D6" w:rsidP="00555A85">
            <w:pPr>
              <w:rPr>
                <w:sz w:val="22"/>
                <w:szCs w:val="22"/>
              </w:rPr>
            </w:pPr>
            <w:r>
              <w:rPr>
                <w:sz w:val="22"/>
                <w:szCs w:val="22"/>
              </w:rPr>
              <w:t>3</w:t>
            </w:r>
            <w:r w:rsidR="006A1612">
              <w:rPr>
                <w:sz w:val="22"/>
                <w:szCs w:val="22"/>
              </w:rPr>
              <w:t>.5</w:t>
            </w:r>
            <w:r>
              <w:rPr>
                <w:sz w:val="22"/>
                <w:szCs w:val="22"/>
              </w:rPr>
              <w:t>%</w:t>
            </w:r>
          </w:p>
        </w:tc>
        <w:tc>
          <w:tcPr>
            <w:tcW w:w="4225" w:type="dxa"/>
          </w:tcPr>
          <w:p w14:paraId="29040558" w14:textId="77777777" w:rsidR="000239D6" w:rsidRPr="003317FC" w:rsidRDefault="000239D6" w:rsidP="00555A85">
            <w:pPr>
              <w:rPr>
                <w:sz w:val="22"/>
                <w:szCs w:val="22"/>
              </w:rPr>
            </w:pPr>
            <w:r>
              <w:rPr>
                <w:sz w:val="22"/>
                <w:szCs w:val="22"/>
              </w:rPr>
              <w:t>Stay at a competitive rate</w:t>
            </w:r>
          </w:p>
        </w:tc>
      </w:tr>
      <w:tr w:rsidR="000239D6" w:rsidRPr="003317FC" w14:paraId="35616B8D" w14:textId="77777777" w:rsidTr="00396ED1">
        <w:tc>
          <w:tcPr>
            <w:tcW w:w="3235" w:type="dxa"/>
          </w:tcPr>
          <w:p w14:paraId="381505C5" w14:textId="77777777" w:rsidR="000239D6" w:rsidRDefault="000239D6" w:rsidP="00555A85">
            <w:pPr>
              <w:rPr>
                <w:sz w:val="22"/>
                <w:szCs w:val="22"/>
              </w:rPr>
            </w:pPr>
            <w:r>
              <w:rPr>
                <w:sz w:val="22"/>
                <w:szCs w:val="22"/>
              </w:rPr>
              <w:t>Ecampus graduate base tuition</w:t>
            </w:r>
          </w:p>
        </w:tc>
        <w:tc>
          <w:tcPr>
            <w:tcW w:w="1890" w:type="dxa"/>
          </w:tcPr>
          <w:p w14:paraId="198B19C8" w14:textId="77777777" w:rsidR="000239D6" w:rsidRDefault="000239D6" w:rsidP="00555A85">
            <w:pPr>
              <w:rPr>
                <w:sz w:val="22"/>
                <w:szCs w:val="22"/>
              </w:rPr>
            </w:pPr>
            <w:r>
              <w:rPr>
                <w:sz w:val="22"/>
                <w:szCs w:val="22"/>
              </w:rPr>
              <w:t>0%</w:t>
            </w:r>
          </w:p>
        </w:tc>
        <w:tc>
          <w:tcPr>
            <w:tcW w:w="4225" w:type="dxa"/>
          </w:tcPr>
          <w:p w14:paraId="0868BE83" w14:textId="0990C609" w:rsidR="000239D6" w:rsidRDefault="000239D6" w:rsidP="00555A85">
            <w:pPr>
              <w:rPr>
                <w:sz w:val="22"/>
                <w:szCs w:val="22"/>
              </w:rPr>
            </w:pPr>
            <w:r>
              <w:rPr>
                <w:sz w:val="22"/>
                <w:szCs w:val="22"/>
              </w:rPr>
              <w:t xml:space="preserve">Current rates </w:t>
            </w:r>
            <w:r w:rsidR="006A1612">
              <w:rPr>
                <w:sz w:val="22"/>
                <w:szCs w:val="22"/>
              </w:rPr>
              <w:t>on</w:t>
            </w:r>
            <w:r>
              <w:rPr>
                <w:sz w:val="22"/>
                <w:szCs w:val="22"/>
              </w:rPr>
              <w:t xml:space="preserve"> the high side of peers</w:t>
            </w:r>
          </w:p>
        </w:tc>
      </w:tr>
      <w:tr w:rsidR="000239D6" w:rsidRPr="003317FC" w14:paraId="154F73A1" w14:textId="77777777" w:rsidTr="00396ED1">
        <w:tc>
          <w:tcPr>
            <w:tcW w:w="3235" w:type="dxa"/>
          </w:tcPr>
          <w:p w14:paraId="7567D065" w14:textId="77777777" w:rsidR="000239D6" w:rsidRDefault="000239D6" w:rsidP="00555A85">
            <w:pPr>
              <w:rPr>
                <w:sz w:val="22"/>
                <w:szCs w:val="22"/>
              </w:rPr>
            </w:pPr>
            <w:r>
              <w:rPr>
                <w:sz w:val="22"/>
                <w:szCs w:val="22"/>
              </w:rPr>
              <w:t>Summer tuition</w:t>
            </w:r>
          </w:p>
        </w:tc>
        <w:tc>
          <w:tcPr>
            <w:tcW w:w="1890" w:type="dxa"/>
          </w:tcPr>
          <w:p w14:paraId="2AB29A2B" w14:textId="75366B14" w:rsidR="000239D6" w:rsidRDefault="003F4EC2" w:rsidP="00555A85">
            <w:pPr>
              <w:rPr>
                <w:sz w:val="22"/>
                <w:szCs w:val="22"/>
              </w:rPr>
            </w:pPr>
            <w:r>
              <w:rPr>
                <w:sz w:val="22"/>
                <w:szCs w:val="22"/>
              </w:rPr>
              <w:t>3.5%</w:t>
            </w:r>
          </w:p>
        </w:tc>
        <w:tc>
          <w:tcPr>
            <w:tcW w:w="4225" w:type="dxa"/>
          </w:tcPr>
          <w:p w14:paraId="20D1379E" w14:textId="77777777" w:rsidR="000239D6" w:rsidRDefault="000239D6" w:rsidP="00555A85">
            <w:pPr>
              <w:rPr>
                <w:sz w:val="22"/>
                <w:szCs w:val="22"/>
              </w:rPr>
            </w:pPr>
            <w:r>
              <w:rPr>
                <w:sz w:val="22"/>
                <w:szCs w:val="22"/>
              </w:rPr>
              <w:t>Matches campus tuition rates</w:t>
            </w:r>
          </w:p>
        </w:tc>
      </w:tr>
      <w:tr w:rsidR="006A1612" w:rsidRPr="003317FC" w14:paraId="1540208C" w14:textId="77777777" w:rsidTr="00396ED1">
        <w:tc>
          <w:tcPr>
            <w:tcW w:w="3235" w:type="dxa"/>
          </w:tcPr>
          <w:p w14:paraId="2413A90D" w14:textId="363E87A4" w:rsidR="006A1612" w:rsidRDefault="006A1612" w:rsidP="00555A85">
            <w:pPr>
              <w:rPr>
                <w:sz w:val="22"/>
                <w:szCs w:val="22"/>
              </w:rPr>
            </w:pPr>
            <w:r>
              <w:rPr>
                <w:sz w:val="22"/>
                <w:szCs w:val="22"/>
              </w:rPr>
              <w:t>Mandatory building and matriculation fees</w:t>
            </w:r>
          </w:p>
        </w:tc>
        <w:tc>
          <w:tcPr>
            <w:tcW w:w="1890" w:type="dxa"/>
          </w:tcPr>
          <w:p w14:paraId="21492F17" w14:textId="17E660BE" w:rsidR="006A1612" w:rsidRDefault="006A1612" w:rsidP="00555A85">
            <w:pPr>
              <w:rPr>
                <w:sz w:val="22"/>
                <w:szCs w:val="22"/>
              </w:rPr>
            </w:pPr>
            <w:r>
              <w:rPr>
                <w:sz w:val="22"/>
                <w:szCs w:val="22"/>
              </w:rPr>
              <w:t>0%</w:t>
            </w:r>
          </w:p>
        </w:tc>
        <w:tc>
          <w:tcPr>
            <w:tcW w:w="4225" w:type="dxa"/>
          </w:tcPr>
          <w:p w14:paraId="0FA05741" w14:textId="353E2E95" w:rsidR="006A1612" w:rsidRDefault="006A1612" w:rsidP="00555A85">
            <w:pPr>
              <w:rPr>
                <w:sz w:val="22"/>
                <w:szCs w:val="22"/>
              </w:rPr>
            </w:pPr>
            <w:r>
              <w:rPr>
                <w:sz w:val="22"/>
                <w:szCs w:val="22"/>
              </w:rPr>
              <w:t xml:space="preserve">No increases </w:t>
            </w:r>
          </w:p>
        </w:tc>
      </w:tr>
      <w:tr w:rsidR="006A1612" w:rsidRPr="003317FC" w14:paraId="06611A37" w14:textId="77777777" w:rsidTr="00396ED1">
        <w:tc>
          <w:tcPr>
            <w:tcW w:w="3235" w:type="dxa"/>
          </w:tcPr>
          <w:p w14:paraId="550BFE32" w14:textId="32C1BD42" w:rsidR="006A1612" w:rsidRDefault="006A1612" w:rsidP="00555A85">
            <w:pPr>
              <w:rPr>
                <w:sz w:val="22"/>
                <w:szCs w:val="22"/>
              </w:rPr>
            </w:pPr>
            <w:r>
              <w:rPr>
                <w:sz w:val="22"/>
                <w:szCs w:val="22"/>
              </w:rPr>
              <w:t>Student Health Services</w:t>
            </w:r>
            <w:r w:rsidR="00993EC3">
              <w:rPr>
                <w:sz w:val="22"/>
                <w:szCs w:val="22"/>
              </w:rPr>
              <w:t>-</w:t>
            </w:r>
            <w:r w:rsidR="00512612">
              <w:rPr>
                <w:sz w:val="22"/>
                <w:szCs w:val="22"/>
              </w:rPr>
              <w:t>Corvallis</w:t>
            </w:r>
          </w:p>
          <w:p w14:paraId="582D5CB8" w14:textId="60DB384E" w:rsidR="00512612" w:rsidRDefault="00512612" w:rsidP="00555A85">
            <w:pPr>
              <w:rPr>
                <w:sz w:val="22"/>
                <w:szCs w:val="22"/>
              </w:rPr>
            </w:pPr>
          </w:p>
        </w:tc>
        <w:tc>
          <w:tcPr>
            <w:tcW w:w="1890" w:type="dxa"/>
          </w:tcPr>
          <w:p w14:paraId="5F4AF215" w14:textId="35028EB3" w:rsidR="006A1612" w:rsidRDefault="006A1612" w:rsidP="00555A85">
            <w:pPr>
              <w:rPr>
                <w:sz w:val="22"/>
                <w:szCs w:val="22"/>
              </w:rPr>
            </w:pPr>
            <w:r>
              <w:rPr>
                <w:sz w:val="22"/>
                <w:szCs w:val="22"/>
              </w:rPr>
              <w:t>5%</w:t>
            </w:r>
          </w:p>
        </w:tc>
        <w:tc>
          <w:tcPr>
            <w:tcW w:w="4225" w:type="dxa"/>
          </w:tcPr>
          <w:p w14:paraId="5935F767" w14:textId="5D3DDFAA" w:rsidR="006A1612" w:rsidRDefault="006A1612" w:rsidP="00555A85">
            <w:pPr>
              <w:rPr>
                <w:sz w:val="22"/>
                <w:szCs w:val="22"/>
              </w:rPr>
            </w:pPr>
            <w:r>
              <w:rPr>
                <w:sz w:val="22"/>
                <w:szCs w:val="22"/>
              </w:rPr>
              <w:t xml:space="preserve">$20.33 per year, to </w:t>
            </w:r>
            <w:r w:rsidR="00F968C7">
              <w:rPr>
                <w:sz w:val="22"/>
                <w:szCs w:val="22"/>
              </w:rPr>
              <w:t xml:space="preserve">meet </w:t>
            </w:r>
            <w:r>
              <w:rPr>
                <w:sz w:val="22"/>
                <w:szCs w:val="22"/>
              </w:rPr>
              <w:t>increasing costs of medical staffing</w:t>
            </w:r>
          </w:p>
        </w:tc>
      </w:tr>
      <w:tr w:rsidR="006A1612" w:rsidRPr="003317FC" w14:paraId="4D95D5B2" w14:textId="77777777" w:rsidTr="00396ED1">
        <w:tc>
          <w:tcPr>
            <w:tcW w:w="3235" w:type="dxa"/>
          </w:tcPr>
          <w:p w14:paraId="563763C1" w14:textId="33F28935" w:rsidR="006A1612" w:rsidRDefault="006A1612" w:rsidP="00555A85">
            <w:pPr>
              <w:rPr>
                <w:sz w:val="22"/>
                <w:szCs w:val="22"/>
              </w:rPr>
            </w:pPr>
            <w:r>
              <w:rPr>
                <w:sz w:val="22"/>
                <w:szCs w:val="22"/>
              </w:rPr>
              <w:t>Counseling and Psychological Services</w:t>
            </w:r>
            <w:r w:rsidR="00993EC3">
              <w:rPr>
                <w:sz w:val="22"/>
                <w:szCs w:val="22"/>
              </w:rPr>
              <w:t>-Corvallis</w:t>
            </w:r>
          </w:p>
        </w:tc>
        <w:tc>
          <w:tcPr>
            <w:tcW w:w="1890" w:type="dxa"/>
          </w:tcPr>
          <w:p w14:paraId="25FAD0A9" w14:textId="5110C3A5" w:rsidR="006A1612" w:rsidRDefault="006A1612" w:rsidP="00555A85">
            <w:pPr>
              <w:rPr>
                <w:sz w:val="22"/>
                <w:szCs w:val="22"/>
              </w:rPr>
            </w:pPr>
            <w:r>
              <w:rPr>
                <w:sz w:val="22"/>
                <w:szCs w:val="22"/>
              </w:rPr>
              <w:t>5%</w:t>
            </w:r>
          </w:p>
        </w:tc>
        <w:tc>
          <w:tcPr>
            <w:tcW w:w="4225" w:type="dxa"/>
          </w:tcPr>
          <w:p w14:paraId="2223AC4D" w14:textId="64881D03" w:rsidR="006A1612" w:rsidRDefault="006A1612" w:rsidP="00555A85">
            <w:pPr>
              <w:rPr>
                <w:sz w:val="22"/>
                <w:szCs w:val="22"/>
              </w:rPr>
            </w:pPr>
            <w:r>
              <w:rPr>
                <w:sz w:val="22"/>
                <w:szCs w:val="22"/>
              </w:rPr>
              <w:t>$9.30 per year, to address increasing costs of medical staffing</w:t>
            </w:r>
          </w:p>
        </w:tc>
      </w:tr>
    </w:tbl>
    <w:p w14:paraId="7B7D3020" w14:textId="77777777" w:rsidR="006A1612" w:rsidRDefault="006A1612" w:rsidP="009053A3">
      <w:pPr>
        <w:pStyle w:val="ListParagraph"/>
        <w:ind w:left="0"/>
        <w:rPr>
          <w:sz w:val="22"/>
          <w:szCs w:val="22"/>
        </w:rPr>
      </w:pPr>
    </w:p>
    <w:p w14:paraId="12900CED" w14:textId="7CA4C88A" w:rsidR="00431DE1" w:rsidRDefault="00431DE1" w:rsidP="009053A3">
      <w:pPr>
        <w:pStyle w:val="ListParagraph"/>
        <w:ind w:left="0"/>
        <w:rPr>
          <w:sz w:val="22"/>
          <w:szCs w:val="22"/>
        </w:rPr>
      </w:pPr>
      <w:r>
        <w:rPr>
          <w:sz w:val="22"/>
          <w:szCs w:val="22"/>
        </w:rPr>
        <w:t>The weighted average tuition increase for resident undergraduate majors at Corvallis is 3.</w:t>
      </w:r>
      <w:r w:rsidR="006A1612">
        <w:rPr>
          <w:sz w:val="22"/>
          <w:szCs w:val="22"/>
        </w:rPr>
        <w:t>46</w:t>
      </w:r>
      <w:r>
        <w:rPr>
          <w:sz w:val="22"/>
          <w:szCs w:val="22"/>
        </w:rPr>
        <w:t xml:space="preserve">% and at Cascades </w:t>
      </w:r>
      <w:r w:rsidRPr="00B5453C">
        <w:rPr>
          <w:sz w:val="22"/>
          <w:szCs w:val="22"/>
        </w:rPr>
        <w:t xml:space="preserve">is </w:t>
      </w:r>
      <w:r w:rsidR="006A1612">
        <w:rPr>
          <w:sz w:val="22"/>
          <w:szCs w:val="22"/>
        </w:rPr>
        <w:t>3.31</w:t>
      </w:r>
      <w:r w:rsidRPr="00B5453C">
        <w:rPr>
          <w:sz w:val="22"/>
          <w:szCs w:val="22"/>
        </w:rPr>
        <w:t>%.</w:t>
      </w:r>
      <w:r>
        <w:rPr>
          <w:sz w:val="22"/>
          <w:szCs w:val="22"/>
        </w:rPr>
        <w:t xml:space="preserve">  The weight</w:t>
      </w:r>
      <w:r w:rsidR="00413A54">
        <w:rPr>
          <w:sz w:val="22"/>
          <w:szCs w:val="22"/>
        </w:rPr>
        <w:t>ed</w:t>
      </w:r>
      <w:r>
        <w:rPr>
          <w:sz w:val="22"/>
          <w:szCs w:val="22"/>
        </w:rPr>
        <w:t xml:space="preserve"> average tuition and mandatory fee increase (the rate subject to the 5% threshold) is 3.</w:t>
      </w:r>
      <w:r w:rsidR="00B5453C">
        <w:rPr>
          <w:sz w:val="22"/>
          <w:szCs w:val="22"/>
        </w:rPr>
        <w:t>4</w:t>
      </w:r>
      <w:r w:rsidR="006A1612">
        <w:rPr>
          <w:sz w:val="22"/>
          <w:szCs w:val="22"/>
        </w:rPr>
        <w:t>9</w:t>
      </w:r>
      <w:r>
        <w:rPr>
          <w:sz w:val="22"/>
          <w:szCs w:val="22"/>
        </w:rPr>
        <w:t xml:space="preserve">% at Corvallis and </w:t>
      </w:r>
      <w:r w:rsidR="006A1612">
        <w:rPr>
          <w:sz w:val="22"/>
          <w:szCs w:val="22"/>
        </w:rPr>
        <w:t>3.26</w:t>
      </w:r>
      <w:r>
        <w:rPr>
          <w:sz w:val="22"/>
          <w:szCs w:val="22"/>
        </w:rPr>
        <w:t>% at Cascades.</w:t>
      </w:r>
      <w:r w:rsidR="00F1007A">
        <w:rPr>
          <w:sz w:val="22"/>
          <w:szCs w:val="22"/>
        </w:rPr>
        <w:t xml:space="preserve">  Detailed rates are listed in </w:t>
      </w:r>
      <w:r w:rsidR="00DA71CD" w:rsidRPr="00EB7395">
        <w:rPr>
          <w:color w:val="0070C0"/>
          <w:sz w:val="22"/>
          <w:szCs w:val="22"/>
        </w:rPr>
        <w:fldChar w:fldCharType="begin"/>
      </w:r>
      <w:r w:rsidR="00DA71CD" w:rsidRPr="00EB7395">
        <w:rPr>
          <w:color w:val="0070C0"/>
          <w:sz w:val="22"/>
          <w:szCs w:val="22"/>
        </w:rPr>
        <w:instrText xml:space="preserve"> REF _Ref62745709 \h  \* MERGEFORMAT </w:instrText>
      </w:r>
      <w:r w:rsidR="00DA71CD" w:rsidRPr="00EB7395">
        <w:rPr>
          <w:color w:val="0070C0"/>
          <w:sz w:val="22"/>
          <w:szCs w:val="22"/>
        </w:rPr>
      </w:r>
      <w:r w:rsidR="00DA71CD" w:rsidRPr="00EB7395">
        <w:rPr>
          <w:color w:val="0070C0"/>
          <w:sz w:val="22"/>
          <w:szCs w:val="22"/>
        </w:rPr>
        <w:fldChar w:fldCharType="separate"/>
      </w:r>
      <w:r w:rsidR="00DA71CD" w:rsidRPr="00EB7395">
        <w:rPr>
          <w:color w:val="0070C0"/>
          <w:sz w:val="22"/>
          <w:szCs w:val="22"/>
        </w:rPr>
        <w:t>Appendix A</w:t>
      </w:r>
      <w:r w:rsidR="00DA71CD" w:rsidRPr="00EB7395">
        <w:rPr>
          <w:color w:val="0070C0"/>
          <w:sz w:val="22"/>
          <w:szCs w:val="22"/>
        </w:rPr>
        <w:fldChar w:fldCharType="end"/>
      </w:r>
      <w:r w:rsidR="00F1007A">
        <w:rPr>
          <w:sz w:val="22"/>
          <w:szCs w:val="22"/>
        </w:rPr>
        <w:t>.</w:t>
      </w:r>
    </w:p>
    <w:p w14:paraId="703B101B" w14:textId="24E5CE73" w:rsidR="001E2D99" w:rsidRDefault="001E2D99" w:rsidP="009053A3">
      <w:pPr>
        <w:pStyle w:val="ListParagraph"/>
        <w:ind w:left="0"/>
        <w:rPr>
          <w:sz w:val="22"/>
          <w:szCs w:val="22"/>
        </w:rPr>
      </w:pPr>
    </w:p>
    <w:p w14:paraId="1F2DE852" w14:textId="30811207" w:rsidR="001E2D99" w:rsidRPr="00584CAA" w:rsidRDefault="001E2D99" w:rsidP="009053A3">
      <w:pPr>
        <w:pStyle w:val="ListParagraph"/>
        <w:ind w:left="0"/>
        <w:rPr>
          <w:sz w:val="22"/>
          <w:szCs w:val="22"/>
        </w:rPr>
      </w:pPr>
      <w:r>
        <w:rPr>
          <w:sz w:val="22"/>
          <w:szCs w:val="22"/>
        </w:rPr>
        <w:t xml:space="preserve">A series of tuition forums are being held January </w:t>
      </w:r>
      <w:r w:rsidR="00893FCF">
        <w:rPr>
          <w:sz w:val="22"/>
          <w:szCs w:val="22"/>
        </w:rPr>
        <w:t>through March</w:t>
      </w:r>
      <w:r>
        <w:rPr>
          <w:sz w:val="22"/>
          <w:szCs w:val="22"/>
        </w:rPr>
        <w:t>.  Comments and feedback from those will be provided prior to the preparation of the Board docket on your tuition rate recommendations.</w:t>
      </w:r>
    </w:p>
    <w:p w14:paraId="443B5FE3" w14:textId="77777777" w:rsidR="006A1612" w:rsidRDefault="006A1612">
      <w:pPr>
        <w:rPr>
          <w:b/>
          <w:sz w:val="22"/>
          <w:szCs w:val="22"/>
          <w:u w:val="single"/>
        </w:rPr>
      </w:pPr>
    </w:p>
    <w:p w14:paraId="381327AC" w14:textId="0D369CCF" w:rsidR="006A1612" w:rsidRDefault="006A1612">
      <w:pPr>
        <w:rPr>
          <w:b/>
          <w:sz w:val="22"/>
          <w:szCs w:val="22"/>
          <w:u w:val="single"/>
        </w:rPr>
      </w:pPr>
    </w:p>
    <w:p w14:paraId="032A5638" w14:textId="77777777" w:rsidR="00396ED1" w:rsidRDefault="00396ED1">
      <w:pPr>
        <w:rPr>
          <w:b/>
          <w:sz w:val="22"/>
          <w:szCs w:val="22"/>
          <w:u w:val="single"/>
        </w:rPr>
      </w:pPr>
    </w:p>
    <w:p w14:paraId="21A20F5B" w14:textId="6133D140" w:rsidR="002C2A7F" w:rsidRDefault="002C2A7F">
      <w:pPr>
        <w:rPr>
          <w:b/>
          <w:sz w:val="22"/>
          <w:szCs w:val="22"/>
          <w:u w:val="single"/>
        </w:rPr>
      </w:pPr>
    </w:p>
    <w:p w14:paraId="1BEF7120" w14:textId="77777777" w:rsidR="002C2A7F" w:rsidRDefault="002C2A7F">
      <w:pPr>
        <w:rPr>
          <w:b/>
          <w:sz w:val="22"/>
          <w:szCs w:val="22"/>
          <w:u w:val="single"/>
        </w:rPr>
      </w:pPr>
    </w:p>
    <w:p w14:paraId="0CDD9F0A" w14:textId="34DA5C49" w:rsidR="00777C87" w:rsidRPr="001E2D99" w:rsidRDefault="001E2D99">
      <w:pPr>
        <w:rPr>
          <w:b/>
          <w:sz w:val="22"/>
          <w:szCs w:val="22"/>
          <w:u w:val="single"/>
        </w:rPr>
      </w:pPr>
      <w:r w:rsidRPr="001E2D99">
        <w:rPr>
          <w:b/>
          <w:sz w:val="22"/>
          <w:szCs w:val="22"/>
          <w:u w:val="single"/>
        </w:rPr>
        <w:lastRenderedPageBreak/>
        <w:t>Rationale:</w:t>
      </w:r>
    </w:p>
    <w:p w14:paraId="2B85A307" w14:textId="40CBFEA9" w:rsidR="001E2D99" w:rsidRDefault="001E2D99">
      <w:pPr>
        <w:rPr>
          <w:sz w:val="22"/>
          <w:szCs w:val="22"/>
        </w:rPr>
      </w:pPr>
    </w:p>
    <w:p w14:paraId="6CF57F4B" w14:textId="29AAE17B" w:rsidR="001E2D99" w:rsidRDefault="00D205C7">
      <w:pPr>
        <w:rPr>
          <w:sz w:val="22"/>
          <w:szCs w:val="22"/>
        </w:rPr>
      </w:pPr>
      <w:r w:rsidRPr="000C442C">
        <w:rPr>
          <w:sz w:val="22"/>
          <w:szCs w:val="22"/>
        </w:rPr>
        <w:t>The UBC has nineteen members with seven students (including representatives of student government at Corvallis and Cascades, as well as students representing historically underserved students), administrators, faculty, and staff.  The committee met seven times prior to finalizing this report and will meet in February and March to review any issues or questions prior to the April Board meeting.</w:t>
      </w:r>
      <w:r>
        <w:rPr>
          <w:sz w:val="22"/>
          <w:szCs w:val="22"/>
        </w:rPr>
        <w:t xml:space="preserve">  The committee discussed its recommendations for rate changes with particular emphasis on the impacts of the pandemic on students and the university and </w:t>
      </w:r>
      <w:r w:rsidRPr="005D0AE1">
        <w:rPr>
          <w:sz w:val="22"/>
          <w:szCs w:val="22"/>
        </w:rPr>
        <w:t>on what it was appropriate for a tuition rate increase to be used for.</w:t>
      </w:r>
    </w:p>
    <w:p w14:paraId="1B98EDB3" w14:textId="54E3A07A" w:rsidR="00D205C7" w:rsidRDefault="00D205C7">
      <w:pPr>
        <w:rPr>
          <w:sz w:val="22"/>
          <w:szCs w:val="22"/>
        </w:rPr>
      </w:pPr>
    </w:p>
    <w:p w14:paraId="3B9047DB" w14:textId="4CA55482" w:rsidR="00D205C7" w:rsidRDefault="00020365">
      <w:pPr>
        <w:rPr>
          <w:sz w:val="22"/>
          <w:szCs w:val="22"/>
        </w:rPr>
      </w:pPr>
      <w:r>
        <w:rPr>
          <w:sz w:val="22"/>
          <w:szCs w:val="22"/>
        </w:rPr>
        <w:t>The committee reviewed three types of projected expense</w:t>
      </w:r>
      <w:r w:rsidR="001861E5">
        <w:rPr>
          <w:sz w:val="22"/>
          <w:szCs w:val="22"/>
        </w:rPr>
        <w:t xml:space="preserve">s that a tuition rate increase would cover: </w:t>
      </w:r>
      <w:r>
        <w:rPr>
          <w:sz w:val="22"/>
          <w:szCs w:val="22"/>
        </w:rPr>
        <w:t xml:space="preserve"> </w:t>
      </w:r>
    </w:p>
    <w:p w14:paraId="62820581" w14:textId="77777777" w:rsidR="00B771FC" w:rsidRDefault="00B771FC">
      <w:pPr>
        <w:rPr>
          <w:sz w:val="22"/>
          <w:szCs w:val="22"/>
        </w:rPr>
      </w:pPr>
    </w:p>
    <w:p w14:paraId="0900884D" w14:textId="6E35BC32" w:rsidR="00020365" w:rsidRDefault="00020365" w:rsidP="00020365">
      <w:pPr>
        <w:pStyle w:val="ListParagraph"/>
        <w:numPr>
          <w:ilvl w:val="0"/>
          <w:numId w:val="10"/>
        </w:numPr>
        <w:rPr>
          <w:sz w:val="22"/>
          <w:szCs w:val="22"/>
        </w:rPr>
      </w:pPr>
      <w:r>
        <w:rPr>
          <w:sz w:val="22"/>
          <w:szCs w:val="22"/>
        </w:rPr>
        <w:t>Inflationary increases related to continuing current levels of academic programs and support services.  These include any projected raises, benefit increases for health insurance and retirement, and general inflation.  This rate is estimated at 2.8% for FY22 over FY21.  Lower raise or benefit increases would decrease that estimate.</w:t>
      </w:r>
    </w:p>
    <w:p w14:paraId="1E81B311" w14:textId="72D9CD3C" w:rsidR="00020365" w:rsidRDefault="00F31762" w:rsidP="00020365">
      <w:pPr>
        <w:pStyle w:val="ListParagraph"/>
        <w:numPr>
          <w:ilvl w:val="0"/>
          <w:numId w:val="10"/>
        </w:numPr>
        <w:rPr>
          <w:sz w:val="22"/>
          <w:szCs w:val="22"/>
        </w:rPr>
      </w:pPr>
      <w:r>
        <w:rPr>
          <w:sz w:val="22"/>
          <w:szCs w:val="22"/>
        </w:rPr>
        <w:t>Mandatory cost increases beyond inflation.  This coming year these include a second large increase in property insurance rates (in excess of $2M), an increase in debt service to support capital renewal projects, and operating costs for new facilities coming online.  These are estimated equivalent to a 0.7% increase in overall spending.</w:t>
      </w:r>
    </w:p>
    <w:p w14:paraId="4C5069ED" w14:textId="6047F054" w:rsidR="00F31762" w:rsidRDefault="00F31762" w:rsidP="00020365">
      <w:pPr>
        <w:pStyle w:val="ListParagraph"/>
        <w:numPr>
          <w:ilvl w:val="0"/>
          <w:numId w:val="10"/>
        </w:numPr>
        <w:rPr>
          <w:sz w:val="22"/>
          <w:szCs w:val="22"/>
        </w:rPr>
      </w:pPr>
      <w:r>
        <w:rPr>
          <w:sz w:val="22"/>
          <w:szCs w:val="22"/>
        </w:rPr>
        <w:t>Strategic cost increases to support critical investments.  These include potential investments in additional fundraising staff through the OSU Foundation, additional staff in Enrollment Management, or additional support for faculty through the Research Office.  These are estimated at 0.6% of total spending.</w:t>
      </w:r>
    </w:p>
    <w:p w14:paraId="42DBB915" w14:textId="523D6F59" w:rsidR="00F31762" w:rsidRDefault="00F31762" w:rsidP="00F31762">
      <w:pPr>
        <w:rPr>
          <w:sz w:val="22"/>
          <w:szCs w:val="22"/>
        </w:rPr>
      </w:pPr>
    </w:p>
    <w:p w14:paraId="19E58F2A" w14:textId="7DA7CC8D" w:rsidR="00F31762" w:rsidRDefault="00F31762" w:rsidP="00F31762">
      <w:pPr>
        <w:rPr>
          <w:sz w:val="22"/>
          <w:szCs w:val="22"/>
        </w:rPr>
      </w:pPr>
      <w:r>
        <w:rPr>
          <w:sz w:val="22"/>
          <w:szCs w:val="22"/>
        </w:rPr>
        <w:t>The committee discussed the impact of the pandemic on the finances of many students and families</w:t>
      </w:r>
      <w:r w:rsidR="006E2700">
        <w:rPr>
          <w:sz w:val="22"/>
          <w:szCs w:val="22"/>
        </w:rPr>
        <w:t xml:space="preserve"> and whether any tuition increase was warranted</w:t>
      </w:r>
      <w:r>
        <w:rPr>
          <w:sz w:val="22"/>
          <w:szCs w:val="22"/>
        </w:rPr>
        <w:t>.</w:t>
      </w:r>
      <w:r w:rsidR="00B771FC">
        <w:rPr>
          <w:sz w:val="22"/>
          <w:szCs w:val="22"/>
        </w:rPr>
        <w:t xml:space="preserve">  There were two important parts to the discussions.  First, it was noted that the economic effects of the pandemic have been uneven, hitting some groups extremely hard while leaving others relatively unharmed.  Second, university units made very substantial expense reductions in the current year, following cost reductions in most of the immediately preceding years.  There was concern about the balance between cost to students and long-term harm from program and staff reductions.  The budget consequences of a tuition freeze were considered to</w:t>
      </w:r>
      <w:r w:rsidR="00081AE1">
        <w:rPr>
          <w:sz w:val="22"/>
          <w:szCs w:val="22"/>
        </w:rPr>
        <w:t>o</w:t>
      </w:r>
      <w:r w:rsidR="00B771FC">
        <w:rPr>
          <w:sz w:val="22"/>
          <w:szCs w:val="22"/>
        </w:rPr>
        <w:t xml:space="preserve"> substantial to pursue.</w:t>
      </w:r>
    </w:p>
    <w:p w14:paraId="7864A4AD" w14:textId="480E858C" w:rsidR="00B771FC" w:rsidRDefault="00B771FC" w:rsidP="00F31762">
      <w:pPr>
        <w:rPr>
          <w:sz w:val="22"/>
          <w:szCs w:val="22"/>
        </w:rPr>
      </w:pPr>
    </w:p>
    <w:p w14:paraId="702619B5" w14:textId="7A474EF0" w:rsidR="00B771FC" w:rsidRDefault="00B771FC" w:rsidP="00F31762">
      <w:pPr>
        <w:rPr>
          <w:sz w:val="22"/>
          <w:szCs w:val="22"/>
        </w:rPr>
      </w:pPr>
      <w:r>
        <w:rPr>
          <w:sz w:val="22"/>
          <w:szCs w:val="22"/>
        </w:rPr>
        <w:t>The consensus of the committee was that a tuition increase to support inflationary and mandatory cost increases (the 2.8% plus the 0.7% noted above) was reasonable to maintain access to programs and services.  This assumes that the substantial increase in institutional financial aid made in the current year continue</w:t>
      </w:r>
      <w:r w:rsidR="001861E5">
        <w:rPr>
          <w:sz w:val="22"/>
          <w:szCs w:val="22"/>
        </w:rPr>
        <w:t>s</w:t>
      </w:r>
      <w:r>
        <w:rPr>
          <w:sz w:val="22"/>
          <w:szCs w:val="22"/>
        </w:rPr>
        <w:t xml:space="preserve"> and </w:t>
      </w:r>
      <w:r w:rsidR="001861E5">
        <w:rPr>
          <w:sz w:val="22"/>
          <w:szCs w:val="22"/>
        </w:rPr>
        <w:t xml:space="preserve">the </w:t>
      </w:r>
      <w:r>
        <w:rPr>
          <w:sz w:val="22"/>
          <w:szCs w:val="22"/>
        </w:rPr>
        <w:t xml:space="preserve">additional aid </w:t>
      </w:r>
      <w:r w:rsidR="001861E5">
        <w:rPr>
          <w:sz w:val="22"/>
          <w:szCs w:val="22"/>
        </w:rPr>
        <w:t>i</w:t>
      </w:r>
      <w:r>
        <w:rPr>
          <w:sz w:val="22"/>
          <w:szCs w:val="22"/>
        </w:rPr>
        <w:t>s allocated.  This would allow aid to be directed to students with the highest need rather than the more across-the-boar</w:t>
      </w:r>
      <w:r w:rsidR="008720F0">
        <w:rPr>
          <w:sz w:val="22"/>
          <w:szCs w:val="22"/>
        </w:rPr>
        <w:t>d</w:t>
      </w:r>
      <w:r>
        <w:rPr>
          <w:sz w:val="22"/>
          <w:szCs w:val="22"/>
        </w:rPr>
        <w:t xml:space="preserve"> approach of a tuition freeze.</w:t>
      </w:r>
      <w:r w:rsidR="008720F0">
        <w:rPr>
          <w:sz w:val="22"/>
          <w:szCs w:val="22"/>
        </w:rPr>
        <w:t xml:space="preserve">  The UBC felt that this coming year strategic increases should come from reductions or savings elsewhere in the budget.</w:t>
      </w:r>
    </w:p>
    <w:p w14:paraId="31300F76" w14:textId="1BCDE23C" w:rsidR="008720F0" w:rsidRDefault="008720F0" w:rsidP="00F31762">
      <w:pPr>
        <w:rPr>
          <w:sz w:val="22"/>
          <w:szCs w:val="22"/>
        </w:rPr>
      </w:pPr>
    </w:p>
    <w:p w14:paraId="446CCC66" w14:textId="5E3F8EAB" w:rsidR="008720F0" w:rsidRDefault="008720F0" w:rsidP="00F31762">
      <w:pPr>
        <w:rPr>
          <w:sz w:val="22"/>
          <w:szCs w:val="22"/>
        </w:rPr>
      </w:pPr>
      <w:r>
        <w:rPr>
          <w:sz w:val="22"/>
          <w:szCs w:val="22"/>
        </w:rPr>
        <w:t xml:space="preserve">The committee recognizes that </w:t>
      </w:r>
      <w:r w:rsidR="00081AE1">
        <w:rPr>
          <w:sz w:val="22"/>
          <w:szCs w:val="22"/>
        </w:rPr>
        <w:t>changes in</w:t>
      </w:r>
      <w:r>
        <w:rPr>
          <w:sz w:val="22"/>
          <w:szCs w:val="22"/>
        </w:rPr>
        <w:t xml:space="preserve"> other revenue sources (the state, indirect cost recovery, and others), coupled with lagging enrollment growth in some student populations, will leave overall revenue growth short of the total inflationary expense increases.  The FY22 budget will require some prioritization of resources and targeted expense reductions.  The size of those reductions remains somewhat uncertain as the appropriate expense base for FY22 will depend on the degree to which more normal operations resume.</w:t>
      </w:r>
    </w:p>
    <w:p w14:paraId="3F193698" w14:textId="45504D98" w:rsidR="008720F0" w:rsidRDefault="008720F0" w:rsidP="00F31762">
      <w:pPr>
        <w:rPr>
          <w:sz w:val="22"/>
          <w:szCs w:val="22"/>
        </w:rPr>
      </w:pPr>
    </w:p>
    <w:p w14:paraId="34BD9B08" w14:textId="184D10A6" w:rsidR="008720F0" w:rsidRPr="00F31762" w:rsidRDefault="008720F0" w:rsidP="00F31762">
      <w:pPr>
        <w:rPr>
          <w:sz w:val="22"/>
          <w:szCs w:val="22"/>
        </w:rPr>
      </w:pPr>
      <w:r>
        <w:rPr>
          <w:sz w:val="22"/>
          <w:szCs w:val="22"/>
        </w:rPr>
        <w:t xml:space="preserve">Details on the UBC process, materials, and rate recommendations follow in </w:t>
      </w:r>
      <w:r w:rsidR="00DA71CD" w:rsidRPr="00EB7395">
        <w:rPr>
          <w:color w:val="0070C0"/>
          <w:sz w:val="22"/>
          <w:szCs w:val="22"/>
        </w:rPr>
        <w:fldChar w:fldCharType="begin"/>
      </w:r>
      <w:r w:rsidR="00DA71CD" w:rsidRPr="00EB7395">
        <w:rPr>
          <w:color w:val="0070C0"/>
          <w:sz w:val="22"/>
          <w:szCs w:val="22"/>
        </w:rPr>
        <w:instrText xml:space="preserve"> REF _Ref62745709 \h  \* MERGEFORMAT </w:instrText>
      </w:r>
      <w:r w:rsidR="00DA71CD" w:rsidRPr="00EB7395">
        <w:rPr>
          <w:color w:val="0070C0"/>
          <w:sz w:val="22"/>
          <w:szCs w:val="22"/>
        </w:rPr>
      </w:r>
      <w:r w:rsidR="00DA71CD" w:rsidRPr="00EB7395">
        <w:rPr>
          <w:color w:val="0070C0"/>
          <w:sz w:val="22"/>
          <w:szCs w:val="22"/>
        </w:rPr>
        <w:fldChar w:fldCharType="separate"/>
      </w:r>
      <w:r w:rsidR="00DA71CD" w:rsidRPr="00EB7395">
        <w:rPr>
          <w:color w:val="0070C0"/>
          <w:sz w:val="22"/>
          <w:szCs w:val="22"/>
        </w:rPr>
        <w:t>Appendix A</w:t>
      </w:r>
      <w:r w:rsidR="00DA71CD" w:rsidRPr="00EB7395">
        <w:rPr>
          <w:color w:val="0070C0"/>
          <w:sz w:val="22"/>
          <w:szCs w:val="22"/>
        </w:rPr>
        <w:fldChar w:fldCharType="end"/>
      </w:r>
      <w:r w:rsidR="009E30D2">
        <w:rPr>
          <w:sz w:val="22"/>
          <w:szCs w:val="22"/>
        </w:rPr>
        <w:t xml:space="preserve"> and details for all tuition rates</w:t>
      </w:r>
      <w:r w:rsidR="00081AE1">
        <w:rPr>
          <w:sz w:val="22"/>
          <w:szCs w:val="22"/>
        </w:rPr>
        <w:t xml:space="preserve"> are noted</w:t>
      </w:r>
      <w:r w:rsidR="009E30D2">
        <w:rPr>
          <w:sz w:val="22"/>
          <w:szCs w:val="22"/>
        </w:rPr>
        <w:t xml:space="preserve"> in </w:t>
      </w:r>
      <w:r w:rsidR="00DA71CD" w:rsidRPr="00EB7395">
        <w:rPr>
          <w:color w:val="0070C0"/>
          <w:sz w:val="22"/>
          <w:szCs w:val="22"/>
        </w:rPr>
        <w:fldChar w:fldCharType="begin"/>
      </w:r>
      <w:r w:rsidR="00DA71CD" w:rsidRPr="00EB7395">
        <w:rPr>
          <w:color w:val="0070C0"/>
          <w:sz w:val="22"/>
          <w:szCs w:val="22"/>
        </w:rPr>
        <w:instrText xml:space="preserve"> REF _Ref62746130 \h  \* MERGEFORMAT </w:instrText>
      </w:r>
      <w:r w:rsidR="00DA71CD" w:rsidRPr="00EB7395">
        <w:rPr>
          <w:color w:val="0070C0"/>
          <w:sz w:val="22"/>
          <w:szCs w:val="22"/>
        </w:rPr>
      </w:r>
      <w:r w:rsidR="00DA71CD" w:rsidRPr="00EB7395">
        <w:rPr>
          <w:color w:val="0070C0"/>
          <w:sz w:val="22"/>
          <w:szCs w:val="22"/>
        </w:rPr>
        <w:fldChar w:fldCharType="separate"/>
      </w:r>
      <w:r w:rsidR="00DA71CD" w:rsidRPr="00EB7395">
        <w:rPr>
          <w:color w:val="0070C0"/>
          <w:sz w:val="22"/>
          <w:szCs w:val="22"/>
        </w:rPr>
        <w:t>Appendix B</w:t>
      </w:r>
      <w:r w:rsidR="00DA71CD" w:rsidRPr="00EB7395">
        <w:rPr>
          <w:color w:val="0070C0"/>
          <w:sz w:val="22"/>
          <w:szCs w:val="22"/>
        </w:rPr>
        <w:fldChar w:fldCharType="end"/>
      </w:r>
      <w:r>
        <w:rPr>
          <w:sz w:val="22"/>
          <w:szCs w:val="22"/>
        </w:rPr>
        <w:t>.</w:t>
      </w:r>
    </w:p>
    <w:p w14:paraId="2E25C8B0" w14:textId="77777777" w:rsidR="008B6662" w:rsidRPr="00041A5A" w:rsidRDefault="008B6662">
      <w:pPr>
        <w:rPr>
          <w:sz w:val="22"/>
          <w:szCs w:val="22"/>
        </w:rPr>
        <w:sectPr w:rsidR="008B6662" w:rsidRPr="00041A5A" w:rsidSect="00A83724">
          <w:headerReference w:type="default" r:id="rId8"/>
          <w:footerReference w:type="even" r:id="rId9"/>
          <w:footerReference w:type="default" r:id="rId10"/>
          <w:headerReference w:type="first" r:id="rId11"/>
          <w:pgSz w:w="12240" w:h="15840"/>
          <w:pgMar w:top="1332" w:right="1260" w:bottom="1143" w:left="1440" w:header="720" w:footer="720" w:gutter="0"/>
          <w:cols w:space="720"/>
          <w:titlePg/>
          <w:docGrid w:linePitch="360"/>
        </w:sectPr>
      </w:pPr>
    </w:p>
    <w:p w14:paraId="1FC8513F" w14:textId="15C3672A" w:rsidR="004E0B11" w:rsidRPr="003214BD" w:rsidRDefault="00431DE1" w:rsidP="00292926">
      <w:pPr>
        <w:rPr>
          <w:sz w:val="20"/>
          <w:szCs w:val="20"/>
        </w:rPr>
      </w:pPr>
      <w:r w:rsidRPr="005777DE">
        <w:rPr>
          <w:rFonts w:cstheme="minorHAnsi"/>
          <w:b/>
          <w:sz w:val="22"/>
        </w:rPr>
        <w:t>Table 1</w:t>
      </w:r>
      <w:r w:rsidRPr="005168BD">
        <w:rPr>
          <w:b/>
          <w:sz w:val="22"/>
        </w:rPr>
        <w:t>:</w:t>
      </w:r>
      <w:r>
        <w:rPr>
          <w:sz w:val="22"/>
        </w:rPr>
        <w:t xml:space="preserve">  </w:t>
      </w:r>
      <w:r w:rsidRPr="00BF3101">
        <w:rPr>
          <w:sz w:val="20"/>
          <w:szCs w:val="20"/>
        </w:rPr>
        <w:t>Tuition Scenario Table (Corvallis campus): Precise percentage increases in each box are different than the nominal increases in per credit hour charges at the top because there is a fixed zero-credit hour charge that is part of undergraduate tuition and rates are rounded to the nearest whole dollar.</w:t>
      </w:r>
      <w:r>
        <w:rPr>
          <w:sz w:val="20"/>
          <w:szCs w:val="20"/>
        </w:rPr>
        <w:t xml:space="preserve"> Scenario B is set at the estimated overall inflationary increase</w:t>
      </w:r>
      <w:r w:rsidR="00194582">
        <w:rPr>
          <w:sz w:val="20"/>
          <w:szCs w:val="20"/>
        </w:rPr>
        <w:t xml:space="preserve"> (2.8%) plus mandatory cost increases beyond inflation (0.6%)</w:t>
      </w:r>
      <w:r w:rsidR="00477C6A">
        <w:rPr>
          <w:sz w:val="20"/>
          <w:szCs w:val="20"/>
        </w:rPr>
        <w:t xml:space="preserve"> and is the consensus recommendation from UBC. </w:t>
      </w:r>
      <w:r>
        <w:rPr>
          <w:sz w:val="20"/>
          <w:szCs w:val="20"/>
        </w:rPr>
        <w:t xml:space="preserve"> Rates are applied to resident undergraduate and non-resident undergraduate tuition rates.  </w:t>
      </w:r>
      <w:r w:rsidR="00292926" w:rsidRPr="003214BD">
        <w:rPr>
          <w:sz w:val="20"/>
          <w:szCs w:val="20"/>
        </w:rPr>
        <w:t>All scenarios add $10.8M in institutional financial aid over FY20 allocations, in addition to what is noted in each scenario.</w:t>
      </w:r>
      <w:r w:rsidR="003214BD" w:rsidRPr="003214BD">
        <w:rPr>
          <w:sz w:val="20"/>
          <w:szCs w:val="20"/>
        </w:rPr>
        <w:t xml:space="preserve">  The middle row corresponds to the Governor’s Recommended Budget (GRB).</w:t>
      </w:r>
    </w:p>
    <w:tbl>
      <w:tblPr>
        <w:tblStyle w:val="TableGrid"/>
        <w:tblW w:w="13776" w:type="dxa"/>
        <w:jc w:val="center"/>
        <w:tblLook w:val="04A0" w:firstRow="1" w:lastRow="0" w:firstColumn="1" w:lastColumn="0" w:noHBand="0" w:noVBand="1"/>
      </w:tblPr>
      <w:tblGrid>
        <w:gridCol w:w="2425"/>
        <w:gridCol w:w="3780"/>
        <w:gridCol w:w="3780"/>
        <w:gridCol w:w="3791"/>
      </w:tblGrid>
      <w:tr w:rsidR="00292926" w:rsidRPr="00041A5A" w14:paraId="5451DA3E" w14:textId="77777777" w:rsidTr="003A2FB4">
        <w:trPr>
          <w:trHeight w:val="447"/>
          <w:jc w:val="center"/>
        </w:trPr>
        <w:tc>
          <w:tcPr>
            <w:tcW w:w="2425" w:type="dxa"/>
            <w:shd w:val="clear" w:color="auto" w:fill="BFBFBF" w:themeFill="background1" w:themeFillShade="BF"/>
            <w:tcMar>
              <w:top w:w="173" w:type="dxa"/>
              <w:left w:w="115" w:type="dxa"/>
              <w:bottom w:w="72" w:type="dxa"/>
              <w:right w:w="115" w:type="dxa"/>
            </w:tcMar>
          </w:tcPr>
          <w:p w14:paraId="1DBE9E0C" w14:textId="77777777" w:rsidR="00292926" w:rsidRPr="00C57AD5" w:rsidRDefault="00292926" w:rsidP="003A2FB4">
            <w:pPr>
              <w:rPr>
                <w:rFonts w:ascii="Arial" w:hAnsi="Arial" w:cs="Arial"/>
                <w:color w:val="000000" w:themeColor="text1"/>
                <w:sz w:val="20"/>
                <w:szCs w:val="20"/>
                <w:highlight w:val="lightGray"/>
              </w:rPr>
            </w:pPr>
          </w:p>
        </w:tc>
        <w:tc>
          <w:tcPr>
            <w:tcW w:w="3780" w:type="dxa"/>
            <w:shd w:val="clear" w:color="auto" w:fill="BFBFBF" w:themeFill="background1" w:themeFillShade="BF"/>
            <w:vAlign w:val="center"/>
          </w:tcPr>
          <w:p w14:paraId="34C204EE" w14:textId="77777777" w:rsidR="00292926" w:rsidRPr="00C57AD5" w:rsidRDefault="00292926" w:rsidP="003A2FB4">
            <w:pPr>
              <w:jc w:val="center"/>
              <w:rPr>
                <w:rFonts w:ascii="Arial" w:eastAsia="Times New Roman" w:hAnsi="Arial" w:cs="Arial"/>
                <w:b/>
                <w:bCs/>
                <w:color w:val="000000"/>
                <w:sz w:val="20"/>
                <w:szCs w:val="20"/>
              </w:rPr>
            </w:pPr>
            <w:r w:rsidRPr="00C57AD5">
              <w:rPr>
                <w:rFonts w:ascii="Arial" w:eastAsia="Times New Roman" w:hAnsi="Arial" w:cs="Arial"/>
                <w:b/>
                <w:bCs/>
                <w:color w:val="000000"/>
                <w:sz w:val="20"/>
                <w:szCs w:val="20"/>
              </w:rPr>
              <w:t xml:space="preserve">Scenario A: </w:t>
            </w:r>
          </w:p>
          <w:p w14:paraId="1243FEBF" w14:textId="77777777" w:rsidR="00292926" w:rsidRPr="00C57AD5" w:rsidRDefault="00292926" w:rsidP="003A2FB4">
            <w:pPr>
              <w:jc w:val="center"/>
              <w:rPr>
                <w:rFonts w:ascii="Arial" w:eastAsia="Times New Roman" w:hAnsi="Arial" w:cs="Arial"/>
                <w:b/>
                <w:bCs/>
                <w:color w:val="000000"/>
                <w:sz w:val="20"/>
                <w:szCs w:val="20"/>
              </w:rPr>
            </w:pPr>
            <w:r w:rsidRPr="00C57AD5">
              <w:rPr>
                <w:rFonts w:ascii="Arial" w:eastAsia="Times New Roman" w:hAnsi="Arial" w:cs="Arial"/>
                <w:b/>
                <w:bCs/>
                <w:color w:val="000000"/>
                <w:sz w:val="20"/>
                <w:szCs w:val="20"/>
              </w:rPr>
              <w:t xml:space="preserve">Resident </w:t>
            </w:r>
            <w:r>
              <w:rPr>
                <w:rFonts w:ascii="Arial" w:eastAsia="Times New Roman" w:hAnsi="Arial" w:cs="Arial"/>
                <w:b/>
                <w:bCs/>
                <w:color w:val="000000"/>
                <w:sz w:val="20"/>
                <w:szCs w:val="20"/>
              </w:rPr>
              <w:t>2.8</w:t>
            </w:r>
            <w:r w:rsidRPr="00C57AD5">
              <w:rPr>
                <w:rFonts w:ascii="Arial" w:eastAsia="Times New Roman" w:hAnsi="Arial" w:cs="Arial"/>
                <w:b/>
                <w:bCs/>
                <w:color w:val="000000"/>
                <w:sz w:val="20"/>
                <w:szCs w:val="20"/>
              </w:rPr>
              <w:t xml:space="preserve">%, Non-resident </w:t>
            </w:r>
            <w:r>
              <w:rPr>
                <w:rFonts w:ascii="Arial" w:eastAsia="Times New Roman" w:hAnsi="Arial" w:cs="Arial"/>
                <w:b/>
                <w:bCs/>
                <w:color w:val="000000"/>
                <w:sz w:val="20"/>
                <w:szCs w:val="20"/>
              </w:rPr>
              <w:t>2.8</w:t>
            </w:r>
            <w:r w:rsidRPr="00C57AD5">
              <w:rPr>
                <w:rFonts w:ascii="Arial" w:eastAsia="Times New Roman" w:hAnsi="Arial" w:cs="Arial"/>
                <w:b/>
                <w:bCs/>
                <w:color w:val="000000"/>
                <w:sz w:val="20"/>
                <w:szCs w:val="20"/>
              </w:rPr>
              <w:t>%</w:t>
            </w:r>
          </w:p>
        </w:tc>
        <w:tc>
          <w:tcPr>
            <w:tcW w:w="3780" w:type="dxa"/>
            <w:shd w:val="clear" w:color="auto" w:fill="BFBFBF" w:themeFill="background1" w:themeFillShade="BF"/>
            <w:tcMar>
              <w:top w:w="173" w:type="dxa"/>
              <w:left w:w="115" w:type="dxa"/>
              <w:bottom w:w="72" w:type="dxa"/>
              <w:right w:w="115" w:type="dxa"/>
            </w:tcMar>
            <w:vAlign w:val="center"/>
          </w:tcPr>
          <w:p w14:paraId="5590A885" w14:textId="77777777" w:rsidR="00292926" w:rsidRPr="00C57AD5" w:rsidRDefault="00292926" w:rsidP="003A2FB4">
            <w:pPr>
              <w:jc w:val="center"/>
              <w:rPr>
                <w:rFonts w:ascii="Arial" w:eastAsia="Times New Roman" w:hAnsi="Arial" w:cs="Arial"/>
                <w:b/>
                <w:bCs/>
                <w:color w:val="000000"/>
                <w:sz w:val="20"/>
                <w:szCs w:val="20"/>
              </w:rPr>
            </w:pPr>
            <w:r w:rsidRPr="00C57AD5">
              <w:rPr>
                <w:rFonts w:ascii="Arial" w:eastAsia="Times New Roman" w:hAnsi="Arial" w:cs="Arial"/>
                <w:b/>
                <w:bCs/>
                <w:color w:val="000000"/>
                <w:sz w:val="20"/>
                <w:szCs w:val="20"/>
              </w:rPr>
              <w:t xml:space="preserve">Scenario B: </w:t>
            </w:r>
          </w:p>
          <w:p w14:paraId="299DECEE" w14:textId="77777777" w:rsidR="00292926" w:rsidRPr="00C57AD5" w:rsidRDefault="00292926" w:rsidP="003A2FB4">
            <w:pPr>
              <w:jc w:val="center"/>
              <w:rPr>
                <w:rFonts w:ascii="Arial" w:hAnsi="Arial" w:cs="Arial"/>
                <w:b/>
                <w:color w:val="000000" w:themeColor="text1"/>
                <w:sz w:val="20"/>
                <w:szCs w:val="20"/>
              </w:rPr>
            </w:pPr>
            <w:r w:rsidRPr="00C57AD5">
              <w:rPr>
                <w:rFonts w:ascii="Arial" w:eastAsia="Times New Roman" w:hAnsi="Arial" w:cs="Arial"/>
                <w:b/>
                <w:bCs/>
                <w:color w:val="000000"/>
                <w:sz w:val="20"/>
                <w:szCs w:val="20"/>
              </w:rPr>
              <w:t xml:space="preserve">Resident </w:t>
            </w:r>
            <w:r>
              <w:rPr>
                <w:rFonts w:ascii="Arial" w:eastAsia="Times New Roman" w:hAnsi="Arial" w:cs="Arial"/>
                <w:b/>
                <w:bCs/>
                <w:color w:val="000000"/>
                <w:sz w:val="20"/>
                <w:szCs w:val="20"/>
              </w:rPr>
              <w:t>3.5</w:t>
            </w:r>
            <w:r w:rsidRPr="00C57AD5">
              <w:rPr>
                <w:rFonts w:ascii="Arial" w:eastAsia="Times New Roman" w:hAnsi="Arial" w:cs="Arial"/>
                <w:b/>
                <w:bCs/>
                <w:color w:val="000000"/>
                <w:sz w:val="20"/>
                <w:szCs w:val="20"/>
              </w:rPr>
              <w:t xml:space="preserve">%, Non-resident </w:t>
            </w:r>
            <w:r>
              <w:rPr>
                <w:rFonts w:ascii="Arial" w:eastAsia="Times New Roman" w:hAnsi="Arial" w:cs="Arial"/>
                <w:b/>
                <w:bCs/>
                <w:color w:val="000000"/>
                <w:sz w:val="20"/>
                <w:szCs w:val="20"/>
              </w:rPr>
              <w:t>3.5</w:t>
            </w:r>
            <w:r w:rsidRPr="00C57AD5">
              <w:rPr>
                <w:rFonts w:ascii="Arial" w:eastAsia="Times New Roman" w:hAnsi="Arial" w:cs="Arial"/>
                <w:b/>
                <w:bCs/>
                <w:color w:val="000000"/>
                <w:sz w:val="20"/>
                <w:szCs w:val="20"/>
              </w:rPr>
              <w:t>%</w:t>
            </w:r>
          </w:p>
        </w:tc>
        <w:tc>
          <w:tcPr>
            <w:tcW w:w="3791" w:type="dxa"/>
            <w:shd w:val="clear" w:color="auto" w:fill="BFBFBF" w:themeFill="background1" w:themeFillShade="BF"/>
            <w:tcMar>
              <w:top w:w="173" w:type="dxa"/>
              <w:left w:w="115" w:type="dxa"/>
              <w:bottom w:w="72" w:type="dxa"/>
              <w:right w:w="115" w:type="dxa"/>
            </w:tcMar>
            <w:vAlign w:val="center"/>
          </w:tcPr>
          <w:p w14:paraId="2A972E8B" w14:textId="77777777" w:rsidR="00292926" w:rsidRPr="00C57AD5" w:rsidRDefault="00292926" w:rsidP="003A2FB4">
            <w:pPr>
              <w:jc w:val="center"/>
              <w:rPr>
                <w:rFonts w:ascii="Arial" w:eastAsia="Times New Roman" w:hAnsi="Arial" w:cs="Arial"/>
                <w:b/>
                <w:bCs/>
                <w:color w:val="000000"/>
                <w:sz w:val="20"/>
                <w:szCs w:val="20"/>
              </w:rPr>
            </w:pPr>
            <w:r w:rsidRPr="00C57AD5">
              <w:rPr>
                <w:rFonts w:ascii="Arial" w:eastAsia="Times New Roman" w:hAnsi="Arial" w:cs="Arial"/>
                <w:b/>
                <w:bCs/>
                <w:color w:val="000000"/>
                <w:sz w:val="20"/>
                <w:szCs w:val="20"/>
              </w:rPr>
              <w:t xml:space="preserve">Scenario C: </w:t>
            </w:r>
          </w:p>
          <w:p w14:paraId="04E15A4C" w14:textId="77777777" w:rsidR="00292926" w:rsidRPr="00C57AD5" w:rsidRDefault="00292926" w:rsidP="003A2FB4">
            <w:pPr>
              <w:jc w:val="center"/>
              <w:rPr>
                <w:rFonts w:ascii="Arial" w:hAnsi="Arial" w:cs="Arial"/>
                <w:b/>
                <w:color w:val="000000" w:themeColor="text1"/>
                <w:sz w:val="20"/>
                <w:szCs w:val="20"/>
                <w:highlight w:val="lightGray"/>
              </w:rPr>
            </w:pPr>
            <w:r w:rsidRPr="00C57AD5">
              <w:rPr>
                <w:rFonts w:ascii="Arial" w:eastAsia="Times New Roman" w:hAnsi="Arial" w:cs="Arial"/>
                <w:b/>
                <w:bCs/>
                <w:color w:val="000000"/>
                <w:sz w:val="20"/>
                <w:szCs w:val="20"/>
              </w:rPr>
              <w:t xml:space="preserve">Resident </w:t>
            </w:r>
            <w:r>
              <w:rPr>
                <w:rFonts w:ascii="Arial" w:eastAsia="Times New Roman" w:hAnsi="Arial" w:cs="Arial"/>
                <w:b/>
                <w:bCs/>
                <w:color w:val="000000"/>
                <w:sz w:val="20"/>
                <w:szCs w:val="20"/>
              </w:rPr>
              <w:t>4.1</w:t>
            </w:r>
            <w:r w:rsidRPr="00C57AD5">
              <w:rPr>
                <w:rFonts w:ascii="Arial" w:eastAsia="Times New Roman" w:hAnsi="Arial" w:cs="Arial"/>
                <w:b/>
                <w:bCs/>
                <w:color w:val="000000"/>
                <w:sz w:val="20"/>
                <w:szCs w:val="20"/>
              </w:rPr>
              <w:t>%, Non-resident 4.</w:t>
            </w:r>
            <w:r>
              <w:rPr>
                <w:rFonts w:ascii="Arial" w:eastAsia="Times New Roman" w:hAnsi="Arial" w:cs="Arial"/>
                <w:b/>
                <w:bCs/>
                <w:color w:val="000000"/>
                <w:sz w:val="20"/>
                <w:szCs w:val="20"/>
              </w:rPr>
              <w:t>1</w:t>
            </w:r>
            <w:r w:rsidRPr="00C57AD5">
              <w:rPr>
                <w:rFonts w:ascii="Arial" w:eastAsia="Times New Roman" w:hAnsi="Arial" w:cs="Arial"/>
                <w:b/>
                <w:bCs/>
                <w:color w:val="000000"/>
                <w:sz w:val="20"/>
                <w:szCs w:val="20"/>
              </w:rPr>
              <w:t>%</w:t>
            </w:r>
          </w:p>
        </w:tc>
      </w:tr>
      <w:tr w:rsidR="00292926" w:rsidRPr="00041A5A" w14:paraId="3CBD0F53" w14:textId="77777777" w:rsidTr="003A2FB4">
        <w:trPr>
          <w:trHeight w:val="1882"/>
          <w:jc w:val="center"/>
        </w:trPr>
        <w:tc>
          <w:tcPr>
            <w:tcW w:w="2425" w:type="dxa"/>
            <w:shd w:val="clear" w:color="auto" w:fill="D9D9D9" w:themeFill="background1" w:themeFillShade="D9"/>
            <w:tcMar>
              <w:top w:w="43" w:type="dxa"/>
              <w:left w:w="115" w:type="dxa"/>
              <w:bottom w:w="43" w:type="dxa"/>
              <w:right w:w="115" w:type="dxa"/>
            </w:tcMar>
            <w:vAlign w:val="center"/>
          </w:tcPr>
          <w:p w14:paraId="632E650C" w14:textId="77777777" w:rsidR="00292926" w:rsidRPr="00C57AD5" w:rsidRDefault="00292926" w:rsidP="003A2FB4">
            <w:pPr>
              <w:rPr>
                <w:rFonts w:ascii="Arial" w:eastAsia="Times New Roman" w:hAnsi="Arial" w:cs="Arial"/>
                <w:b/>
                <w:bCs/>
                <w:color w:val="000000"/>
                <w:sz w:val="20"/>
                <w:szCs w:val="20"/>
              </w:rPr>
            </w:pPr>
            <w:r w:rsidRPr="00C57AD5">
              <w:rPr>
                <w:rFonts w:ascii="Arial" w:eastAsia="Times New Roman" w:hAnsi="Arial" w:cs="Arial"/>
                <w:b/>
                <w:bCs/>
                <w:color w:val="000000"/>
                <w:sz w:val="20"/>
                <w:szCs w:val="20"/>
              </w:rPr>
              <w:t xml:space="preserve">State </w:t>
            </w:r>
            <w:r>
              <w:rPr>
                <w:rFonts w:ascii="Arial" w:eastAsia="Times New Roman" w:hAnsi="Arial" w:cs="Arial"/>
                <w:b/>
                <w:bCs/>
                <w:color w:val="000000"/>
                <w:sz w:val="20"/>
                <w:szCs w:val="20"/>
              </w:rPr>
              <w:t xml:space="preserve">funding change year over year: </w:t>
            </w:r>
            <w:r w:rsidRPr="00C57AD5">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0%</w:t>
            </w:r>
          </w:p>
          <w:p w14:paraId="05E7661D" w14:textId="77777777" w:rsidR="00292926" w:rsidRPr="00C57AD5" w:rsidRDefault="00292926" w:rsidP="003A2FB4">
            <w:pPr>
              <w:rPr>
                <w:rFonts w:ascii="Arial" w:eastAsia="Times New Roman" w:hAnsi="Arial" w:cs="Arial"/>
                <w:b/>
                <w:bCs/>
                <w:color w:val="000000"/>
                <w:sz w:val="20"/>
                <w:szCs w:val="20"/>
              </w:rPr>
            </w:pPr>
          </w:p>
          <w:p w14:paraId="19451777" w14:textId="77777777" w:rsidR="00292926" w:rsidRPr="00C57AD5" w:rsidRDefault="00292926" w:rsidP="003A2FB4">
            <w:pPr>
              <w:rPr>
                <w:rFonts w:ascii="Arial" w:eastAsia="Times New Roman" w:hAnsi="Arial" w:cs="Arial"/>
                <w:b/>
                <w:bCs/>
                <w:color w:val="000000"/>
                <w:sz w:val="20"/>
                <w:szCs w:val="20"/>
              </w:rPr>
            </w:pPr>
          </w:p>
        </w:tc>
        <w:tc>
          <w:tcPr>
            <w:tcW w:w="3780" w:type="dxa"/>
            <w:shd w:val="clear" w:color="auto" w:fill="D9D9D9" w:themeFill="background1" w:themeFillShade="D9"/>
          </w:tcPr>
          <w:p w14:paraId="0AA1FB2A"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2.78</w:t>
            </w:r>
            <w:r w:rsidRPr="00C57AD5">
              <w:rPr>
                <w:rFonts w:ascii="Arial" w:eastAsia="Times New Roman" w:hAnsi="Arial" w:cs="Arial"/>
                <w:bCs/>
                <w:color w:val="000000"/>
                <w:sz w:val="20"/>
                <w:szCs w:val="20"/>
              </w:rPr>
              <w:t>%</w:t>
            </w:r>
          </w:p>
          <w:p w14:paraId="032D1FF3"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2.72</w:t>
            </w:r>
            <w:r w:rsidRPr="00C57AD5">
              <w:rPr>
                <w:rFonts w:ascii="Arial" w:eastAsia="Times New Roman" w:hAnsi="Arial" w:cs="Arial"/>
                <w:bCs/>
                <w:color w:val="000000"/>
                <w:sz w:val="20"/>
                <w:szCs w:val="20"/>
              </w:rPr>
              <w:t>%</w:t>
            </w:r>
          </w:p>
          <w:p w14:paraId="752F6EC3"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2.3</w:t>
            </w:r>
            <w:r w:rsidRPr="00C57AD5">
              <w:rPr>
                <w:rFonts w:ascii="Arial" w:eastAsia="Times New Roman" w:hAnsi="Arial" w:cs="Arial"/>
                <w:bCs/>
                <w:color w:val="000000"/>
                <w:sz w:val="20"/>
                <w:szCs w:val="20"/>
              </w:rPr>
              <w:t>M</w:t>
            </w:r>
          </w:p>
          <w:p w14:paraId="37B9259B" w14:textId="77777777" w:rsidR="00292926" w:rsidRDefault="00292926" w:rsidP="003A2FB4">
            <w:pPr>
              <w:spacing w:after="80"/>
              <w:rPr>
                <w:rFonts w:ascii="Arial" w:eastAsia="Times New Roman" w:hAnsi="Arial" w:cs="Arial"/>
                <w:bCs/>
                <w:color w:val="FF0000"/>
                <w:sz w:val="20"/>
                <w:szCs w:val="20"/>
              </w:rPr>
            </w:pPr>
            <w:r w:rsidRPr="00C57AD5">
              <w:rPr>
                <w:rFonts w:ascii="Arial" w:eastAsia="Times New Roman" w:hAnsi="Arial" w:cs="Arial"/>
                <w:bCs/>
                <w:color w:val="000000"/>
                <w:sz w:val="20"/>
                <w:szCs w:val="20"/>
              </w:rPr>
              <w:t xml:space="preserve">Surplus or (deficit): </w:t>
            </w:r>
            <w:r w:rsidRPr="00F4480E">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2</w:t>
            </w:r>
            <w:r w:rsidRPr="00F4480E">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4</w:t>
            </w:r>
            <w:r w:rsidRPr="00F4480E">
              <w:rPr>
                <w:rFonts w:ascii="Arial" w:eastAsia="Times New Roman" w:hAnsi="Arial" w:cs="Arial"/>
                <w:bCs/>
                <w:color w:val="000000" w:themeColor="text1"/>
                <w:sz w:val="20"/>
                <w:szCs w:val="20"/>
              </w:rPr>
              <w:t xml:space="preserve">M </w:t>
            </w:r>
            <w:r>
              <w:rPr>
                <w:rFonts w:ascii="Arial" w:eastAsia="Times New Roman" w:hAnsi="Arial" w:cs="Arial"/>
                <w:bCs/>
                <w:color w:val="FF0000"/>
                <w:sz w:val="20"/>
                <w:szCs w:val="20"/>
              </w:rPr>
              <w:t>to $(6.3M)</w:t>
            </w:r>
          </w:p>
          <w:p w14:paraId="54E471F7"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280</w:t>
            </w:r>
            <w:r w:rsidRPr="00C57AD5">
              <w:rPr>
                <w:rFonts w:ascii="Arial" w:eastAsia="Times New Roman" w:hAnsi="Arial" w:cs="Arial"/>
                <w:bCs/>
                <w:color w:val="000000"/>
                <w:sz w:val="20"/>
                <w:szCs w:val="20"/>
              </w:rPr>
              <w:t xml:space="preserve"> annual increase residents</w:t>
            </w:r>
          </w:p>
          <w:p w14:paraId="5AF4F595"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830</w:t>
            </w:r>
            <w:r w:rsidRPr="00C57AD5">
              <w:rPr>
                <w:rFonts w:ascii="Arial" w:eastAsia="Times New Roman" w:hAnsi="Arial" w:cs="Arial"/>
                <w:bCs/>
                <w:color w:val="000000"/>
                <w:sz w:val="20"/>
                <w:szCs w:val="20"/>
              </w:rPr>
              <w:t xml:space="preserve"> annual increase non-res</w:t>
            </w:r>
          </w:p>
        </w:tc>
        <w:tc>
          <w:tcPr>
            <w:tcW w:w="3780" w:type="dxa"/>
            <w:shd w:val="clear" w:color="auto" w:fill="D9D9D9" w:themeFill="background1" w:themeFillShade="D9"/>
            <w:tcMar>
              <w:top w:w="43" w:type="dxa"/>
              <w:left w:w="115" w:type="dxa"/>
              <w:bottom w:w="43" w:type="dxa"/>
              <w:right w:w="115" w:type="dxa"/>
            </w:tcMar>
          </w:tcPr>
          <w:p w14:paraId="027E41B4"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3.55</w:t>
            </w:r>
            <w:r w:rsidRPr="00C57AD5">
              <w:rPr>
                <w:rFonts w:ascii="Arial" w:eastAsia="Times New Roman" w:hAnsi="Arial" w:cs="Arial"/>
                <w:bCs/>
                <w:color w:val="000000"/>
                <w:sz w:val="20"/>
                <w:szCs w:val="20"/>
              </w:rPr>
              <w:t>%</w:t>
            </w:r>
          </w:p>
          <w:p w14:paraId="40AB516F"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3.41</w:t>
            </w:r>
            <w:r w:rsidRPr="00C57AD5">
              <w:rPr>
                <w:rFonts w:ascii="Arial" w:eastAsia="Times New Roman" w:hAnsi="Arial" w:cs="Arial"/>
                <w:bCs/>
                <w:color w:val="000000"/>
                <w:sz w:val="20"/>
                <w:szCs w:val="20"/>
              </w:rPr>
              <w:t>%</w:t>
            </w:r>
          </w:p>
          <w:p w14:paraId="075FEE44"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2.6</w:t>
            </w:r>
            <w:r w:rsidRPr="00C57AD5">
              <w:rPr>
                <w:rFonts w:ascii="Arial" w:eastAsia="Times New Roman" w:hAnsi="Arial" w:cs="Arial"/>
                <w:bCs/>
                <w:color w:val="000000"/>
                <w:sz w:val="20"/>
                <w:szCs w:val="20"/>
              </w:rPr>
              <w:t>M</w:t>
            </w:r>
          </w:p>
          <w:p w14:paraId="06445024" w14:textId="77777777" w:rsidR="00292926" w:rsidRDefault="00292926" w:rsidP="003A2FB4">
            <w:pPr>
              <w:spacing w:after="80"/>
              <w:rPr>
                <w:rFonts w:ascii="Arial" w:eastAsia="Times New Roman" w:hAnsi="Arial" w:cs="Arial"/>
                <w:bCs/>
                <w:color w:val="FF0000"/>
                <w:sz w:val="20"/>
                <w:szCs w:val="20"/>
              </w:rPr>
            </w:pPr>
            <w:r w:rsidRPr="00C57AD5">
              <w:rPr>
                <w:rFonts w:ascii="Arial" w:eastAsia="Times New Roman" w:hAnsi="Arial" w:cs="Arial"/>
                <w:bCs/>
                <w:color w:val="000000"/>
                <w:sz w:val="20"/>
                <w:szCs w:val="20"/>
              </w:rPr>
              <w:t xml:space="preserve">Surplus or (deficit): </w:t>
            </w:r>
            <w:r w:rsidRPr="00A31906">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4.5</w:t>
            </w:r>
            <w:r w:rsidRPr="00A31906">
              <w:rPr>
                <w:rFonts w:ascii="Arial" w:eastAsia="Times New Roman" w:hAnsi="Arial" w:cs="Arial"/>
                <w:bCs/>
                <w:color w:val="000000" w:themeColor="text1"/>
                <w:sz w:val="20"/>
                <w:szCs w:val="20"/>
              </w:rPr>
              <w:t xml:space="preserve">M </w:t>
            </w:r>
            <w:r>
              <w:rPr>
                <w:rFonts w:ascii="Arial" w:eastAsia="Times New Roman" w:hAnsi="Arial" w:cs="Arial"/>
                <w:bCs/>
                <w:color w:val="FF0000"/>
                <w:sz w:val="20"/>
                <w:szCs w:val="20"/>
              </w:rPr>
              <w:t>to $(4.2M)</w:t>
            </w:r>
          </w:p>
          <w:p w14:paraId="05C339B7"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 xml:space="preserve">360 </w:t>
            </w:r>
            <w:r w:rsidRPr="00C57AD5">
              <w:rPr>
                <w:rFonts w:ascii="Arial" w:eastAsia="Times New Roman" w:hAnsi="Arial" w:cs="Arial"/>
                <w:bCs/>
                <w:color w:val="000000"/>
                <w:sz w:val="20"/>
                <w:szCs w:val="20"/>
              </w:rPr>
              <w:t>annual increase residents</w:t>
            </w:r>
          </w:p>
          <w:p w14:paraId="2D89E3A5"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1035</w:t>
            </w:r>
            <w:r w:rsidRPr="00C57AD5">
              <w:rPr>
                <w:rFonts w:ascii="Arial" w:eastAsia="Times New Roman" w:hAnsi="Arial" w:cs="Arial"/>
                <w:bCs/>
                <w:color w:val="000000"/>
                <w:sz w:val="20"/>
                <w:szCs w:val="20"/>
              </w:rPr>
              <w:t xml:space="preserve"> annual increase non-res</w:t>
            </w:r>
          </w:p>
        </w:tc>
        <w:tc>
          <w:tcPr>
            <w:tcW w:w="3791" w:type="dxa"/>
            <w:shd w:val="clear" w:color="auto" w:fill="D9D9D9" w:themeFill="background1" w:themeFillShade="D9"/>
            <w:tcMar>
              <w:top w:w="43" w:type="dxa"/>
              <w:left w:w="115" w:type="dxa"/>
              <w:bottom w:w="43" w:type="dxa"/>
              <w:right w:w="115" w:type="dxa"/>
            </w:tcMar>
          </w:tcPr>
          <w:p w14:paraId="1DEEF355"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3.99</w:t>
            </w:r>
            <w:r w:rsidRPr="00C57AD5">
              <w:rPr>
                <w:rFonts w:ascii="Arial" w:eastAsia="Times New Roman" w:hAnsi="Arial" w:cs="Arial"/>
                <w:bCs/>
                <w:color w:val="000000"/>
                <w:sz w:val="20"/>
                <w:szCs w:val="20"/>
              </w:rPr>
              <w:t>%</w:t>
            </w:r>
          </w:p>
          <w:p w14:paraId="72F9B4CE"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4.00</w:t>
            </w:r>
            <w:r w:rsidRPr="00C57AD5">
              <w:rPr>
                <w:rFonts w:ascii="Arial" w:eastAsia="Times New Roman" w:hAnsi="Arial" w:cs="Arial"/>
                <w:bCs/>
                <w:color w:val="000000"/>
                <w:sz w:val="20"/>
                <w:szCs w:val="20"/>
              </w:rPr>
              <w:t>%</w:t>
            </w:r>
          </w:p>
          <w:p w14:paraId="709A3420"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3.0M</w:t>
            </w:r>
          </w:p>
          <w:p w14:paraId="66CEA20A"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Surplus or (deficit): </w:t>
            </w:r>
            <w:r w:rsidRPr="00A31906">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6.3</w:t>
            </w:r>
            <w:r w:rsidRPr="00A31906">
              <w:rPr>
                <w:rFonts w:ascii="Arial" w:eastAsia="Times New Roman" w:hAnsi="Arial" w:cs="Arial"/>
                <w:bCs/>
                <w:color w:val="000000" w:themeColor="text1"/>
                <w:sz w:val="20"/>
                <w:szCs w:val="20"/>
              </w:rPr>
              <w:t xml:space="preserve">M </w:t>
            </w:r>
            <w:r>
              <w:rPr>
                <w:rFonts w:ascii="Arial" w:eastAsia="Times New Roman" w:hAnsi="Arial" w:cs="Arial"/>
                <w:bCs/>
                <w:color w:val="FF0000"/>
                <w:sz w:val="20"/>
                <w:szCs w:val="20"/>
              </w:rPr>
              <w:t>to $(2.3M)</w:t>
            </w:r>
          </w:p>
          <w:p w14:paraId="202B4190"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 xml:space="preserve">405 </w:t>
            </w:r>
            <w:r w:rsidRPr="00C57AD5">
              <w:rPr>
                <w:rFonts w:ascii="Arial" w:eastAsia="Times New Roman" w:hAnsi="Arial" w:cs="Arial"/>
                <w:bCs/>
                <w:color w:val="000000"/>
                <w:sz w:val="20"/>
                <w:szCs w:val="20"/>
              </w:rPr>
              <w:t>annual increase residents</w:t>
            </w:r>
          </w:p>
          <w:p w14:paraId="367EE251"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1215</w:t>
            </w:r>
            <w:r w:rsidRPr="00C57AD5">
              <w:rPr>
                <w:rFonts w:ascii="Arial" w:eastAsia="Times New Roman" w:hAnsi="Arial" w:cs="Arial"/>
                <w:bCs/>
                <w:color w:val="000000"/>
                <w:sz w:val="20"/>
                <w:szCs w:val="20"/>
              </w:rPr>
              <w:t xml:space="preserve"> annual increase non-res</w:t>
            </w:r>
          </w:p>
        </w:tc>
      </w:tr>
      <w:tr w:rsidR="00292926" w:rsidRPr="00041A5A" w14:paraId="26755362" w14:textId="77777777" w:rsidTr="003A2FB4">
        <w:trPr>
          <w:trHeight w:val="1792"/>
          <w:jc w:val="center"/>
        </w:trPr>
        <w:tc>
          <w:tcPr>
            <w:tcW w:w="2425" w:type="dxa"/>
            <w:tcMar>
              <w:top w:w="43" w:type="dxa"/>
              <w:left w:w="115" w:type="dxa"/>
              <w:bottom w:w="43" w:type="dxa"/>
              <w:right w:w="115" w:type="dxa"/>
            </w:tcMar>
            <w:vAlign w:val="center"/>
          </w:tcPr>
          <w:p w14:paraId="3C01AB16" w14:textId="77777777" w:rsidR="00292926" w:rsidRPr="00C57AD5" w:rsidRDefault="00292926" w:rsidP="003A2FB4">
            <w:pPr>
              <w:rPr>
                <w:rFonts w:ascii="Arial" w:eastAsia="Times New Roman" w:hAnsi="Arial" w:cs="Arial"/>
                <w:b/>
                <w:bCs/>
                <w:color w:val="000000"/>
                <w:sz w:val="20"/>
                <w:szCs w:val="20"/>
              </w:rPr>
            </w:pPr>
            <w:r w:rsidRPr="00C57AD5">
              <w:rPr>
                <w:rFonts w:ascii="Arial" w:eastAsia="Times New Roman" w:hAnsi="Arial" w:cs="Arial"/>
                <w:b/>
                <w:bCs/>
                <w:color w:val="000000"/>
                <w:sz w:val="20"/>
                <w:szCs w:val="20"/>
              </w:rPr>
              <w:t xml:space="preserve">State </w:t>
            </w:r>
            <w:r>
              <w:rPr>
                <w:rFonts w:ascii="Arial" w:eastAsia="Times New Roman" w:hAnsi="Arial" w:cs="Arial"/>
                <w:b/>
                <w:bCs/>
                <w:color w:val="000000"/>
                <w:sz w:val="20"/>
                <w:szCs w:val="20"/>
              </w:rPr>
              <w:t xml:space="preserve">funding change year over year: </w:t>
            </w:r>
            <w:r w:rsidRPr="00C57AD5">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-4%</w:t>
            </w:r>
          </w:p>
          <w:p w14:paraId="270D2CDB" w14:textId="77777777" w:rsidR="00292926" w:rsidRPr="00C57AD5" w:rsidRDefault="00292926" w:rsidP="003A2FB4">
            <w:pPr>
              <w:rPr>
                <w:rFonts w:ascii="Arial" w:eastAsia="Times New Roman" w:hAnsi="Arial" w:cs="Arial"/>
                <w:b/>
                <w:bCs/>
                <w:color w:val="000000"/>
                <w:sz w:val="20"/>
                <w:szCs w:val="20"/>
              </w:rPr>
            </w:pPr>
          </w:p>
          <w:p w14:paraId="3F7E9A6F" w14:textId="77777777" w:rsidR="00292926" w:rsidRPr="00C57AD5" w:rsidRDefault="00292926" w:rsidP="003A2FB4">
            <w:pPr>
              <w:rPr>
                <w:rFonts w:ascii="Arial" w:hAnsi="Arial" w:cs="Arial"/>
                <w:b/>
                <w:color w:val="000000" w:themeColor="text1"/>
                <w:sz w:val="20"/>
                <w:szCs w:val="20"/>
              </w:rPr>
            </w:pPr>
          </w:p>
        </w:tc>
        <w:tc>
          <w:tcPr>
            <w:tcW w:w="3780" w:type="dxa"/>
          </w:tcPr>
          <w:p w14:paraId="76F77C19"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2.78</w:t>
            </w:r>
            <w:r w:rsidRPr="00C57AD5">
              <w:rPr>
                <w:rFonts w:ascii="Arial" w:eastAsia="Times New Roman" w:hAnsi="Arial" w:cs="Arial"/>
                <w:bCs/>
                <w:color w:val="000000"/>
                <w:sz w:val="20"/>
                <w:szCs w:val="20"/>
              </w:rPr>
              <w:t>%</w:t>
            </w:r>
          </w:p>
          <w:p w14:paraId="0F60BAE1"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2.72</w:t>
            </w:r>
            <w:r w:rsidRPr="00C57AD5">
              <w:rPr>
                <w:rFonts w:ascii="Arial" w:eastAsia="Times New Roman" w:hAnsi="Arial" w:cs="Arial"/>
                <w:bCs/>
                <w:color w:val="000000"/>
                <w:sz w:val="20"/>
                <w:szCs w:val="20"/>
              </w:rPr>
              <w:t>%</w:t>
            </w:r>
          </w:p>
          <w:p w14:paraId="0CEDFD84"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2.3</w:t>
            </w:r>
            <w:r w:rsidRPr="00C57AD5">
              <w:rPr>
                <w:rFonts w:ascii="Arial" w:eastAsia="Times New Roman" w:hAnsi="Arial" w:cs="Arial"/>
                <w:bCs/>
                <w:color w:val="000000"/>
                <w:sz w:val="20"/>
                <w:szCs w:val="20"/>
              </w:rPr>
              <w:t>M</w:t>
            </w:r>
          </w:p>
          <w:p w14:paraId="21237823" w14:textId="77777777" w:rsidR="00292926" w:rsidRDefault="00292926" w:rsidP="003A2FB4">
            <w:pPr>
              <w:spacing w:after="80"/>
              <w:rPr>
                <w:rFonts w:ascii="Arial" w:eastAsia="Times New Roman" w:hAnsi="Arial" w:cs="Arial"/>
                <w:bCs/>
                <w:color w:val="FF0000"/>
                <w:sz w:val="20"/>
                <w:szCs w:val="20"/>
              </w:rPr>
            </w:pPr>
            <w:r w:rsidRPr="00C57AD5">
              <w:rPr>
                <w:rFonts w:ascii="Arial" w:eastAsia="Times New Roman" w:hAnsi="Arial" w:cs="Arial"/>
                <w:bCs/>
                <w:color w:val="000000"/>
                <w:sz w:val="20"/>
                <w:szCs w:val="20"/>
              </w:rPr>
              <w:t xml:space="preserve">Surplus or (deficit): </w:t>
            </w:r>
            <w:r w:rsidRPr="00C57AD5">
              <w:rPr>
                <w:rFonts w:ascii="Arial" w:eastAsia="Times New Roman" w:hAnsi="Arial" w:cs="Arial"/>
                <w:bCs/>
                <w:color w:val="FF0000"/>
                <w:sz w:val="20"/>
                <w:szCs w:val="20"/>
              </w:rPr>
              <w:t>$(</w:t>
            </w:r>
            <w:r>
              <w:rPr>
                <w:rFonts w:ascii="Arial" w:eastAsia="Times New Roman" w:hAnsi="Arial" w:cs="Arial"/>
                <w:bCs/>
                <w:color w:val="FF0000"/>
                <w:sz w:val="20"/>
                <w:szCs w:val="20"/>
              </w:rPr>
              <w:t>3.1M) to $(11.7M)</w:t>
            </w:r>
          </w:p>
          <w:p w14:paraId="68C49F9E"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280</w:t>
            </w:r>
            <w:r w:rsidRPr="00C57AD5">
              <w:rPr>
                <w:rFonts w:ascii="Arial" w:eastAsia="Times New Roman" w:hAnsi="Arial" w:cs="Arial"/>
                <w:bCs/>
                <w:color w:val="000000"/>
                <w:sz w:val="20"/>
                <w:szCs w:val="20"/>
              </w:rPr>
              <w:t xml:space="preserve"> annual increase residents</w:t>
            </w:r>
          </w:p>
          <w:p w14:paraId="5A2C667C"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830</w:t>
            </w:r>
            <w:r w:rsidRPr="00C57AD5">
              <w:rPr>
                <w:rFonts w:ascii="Arial" w:eastAsia="Times New Roman" w:hAnsi="Arial" w:cs="Arial"/>
                <w:bCs/>
                <w:color w:val="000000"/>
                <w:sz w:val="20"/>
                <w:szCs w:val="20"/>
              </w:rPr>
              <w:t xml:space="preserve"> annual increase non-res</w:t>
            </w:r>
          </w:p>
        </w:tc>
        <w:tc>
          <w:tcPr>
            <w:tcW w:w="3780" w:type="dxa"/>
            <w:shd w:val="clear" w:color="auto" w:fill="auto"/>
            <w:tcMar>
              <w:top w:w="43" w:type="dxa"/>
              <w:left w:w="115" w:type="dxa"/>
              <w:bottom w:w="43" w:type="dxa"/>
              <w:right w:w="115" w:type="dxa"/>
            </w:tcMar>
          </w:tcPr>
          <w:p w14:paraId="74648713"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3.55</w:t>
            </w:r>
            <w:r w:rsidRPr="00C57AD5">
              <w:rPr>
                <w:rFonts w:ascii="Arial" w:eastAsia="Times New Roman" w:hAnsi="Arial" w:cs="Arial"/>
                <w:bCs/>
                <w:color w:val="000000"/>
                <w:sz w:val="20"/>
                <w:szCs w:val="20"/>
              </w:rPr>
              <w:t>%</w:t>
            </w:r>
          </w:p>
          <w:p w14:paraId="4F9ED08C"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3.41</w:t>
            </w:r>
            <w:r w:rsidRPr="00C57AD5">
              <w:rPr>
                <w:rFonts w:ascii="Arial" w:eastAsia="Times New Roman" w:hAnsi="Arial" w:cs="Arial"/>
                <w:bCs/>
                <w:color w:val="000000"/>
                <w:sz w:val="20"/>
                <w:szCs w:val="20"/>
              </w:rPr>
              <w:t>%</w:t>
            </w:r>
          </w:p>
          <w:p w14:paraId="1AB37363"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2.6</w:t>
            </w:r>
            <w:r w:rsidRPr="00C57AD5">
              <w:rPr>
                <w:rFonts w:ascii="Arial" w:eastAsia="Times New Roman" w:hAnsi="Arial" w:cs="Arial"/>
                <w:bCs/>
                <w:color w:val="000000"/>
                <w:sz w:val="20"/>
                <w:szCs w:val="20"/>
              </w:rPr>
              <w:t>M</w:t>
            </w:r>
          </w:p>
          <w:p w14:paraId="715E5F59"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Surplus or (deficit): </w:t>
            </w:r>
            <w:r>
              <w:rPr>
                <w:rFonts w:ascii="Arial" w:eastAsia="Times New Roman" w:hAnsi="Arial" w:cs="Arial"/>
                <w:bCs/>
                <w:color w:val="FF0000"/>
                <w:sz w:val="20"/>
                <w:szCs w:val="20"/>
              </w:rPr>
              <w:t>$(1.0M) to $(9.7M)</w:t>
            </w:r>
          </w:p>
          <w:p w14:paraId="4C7CD6FD"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 xml:space="preserve">360 </w:t>
            </w:r>
            <w:r w:rsidRPr="00C57AD5">
              <w:rPr>
                <w:rFonts w:ascii="Arial" w:eastAsia="Times New Roman" w:hAnsi="Arial" w:cs="Arial"/>
                <w:bCs/>
                <w:color w:val="000000"/>
                <w:sz w:val="20"/>
                <w:szCs w:val="20"/>
              </w:rPr>
              <w:t>annual increase residents</w:t>
            </w:r>
          </w:p>
          <w:p w14:paraId="6C5072E9" w14:textId="77777777" w:rsidR="00292926" w:rsidRPr="00C57AD5" w:rsidRDefault="00292926" w:rsidP="003A2FB4">
            <w:pPr>
              <w:spacing w:after="80"/>
              <w:rPr>
                <w:rFonts w:ascii="Arial" w:hAnsi="Arial" w:cs="Arial"/>
                <w:color w:val="000000" w:themeColor="text1"/>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1035</w:t>
            </w:r>
            <w:r w:rsidRPr="00C57AD5">
              <w:rPr>
                <w:rFonts w:ascii="Arial" w:eastAsia="Times New Roman" w:hAnsi="Arial" w:cs="Arial"/>
                <w:bCs/>
                <w:color w:val="000000"/>
                <w:sz w:val="20"/>
                <w:szCs w:val="20"/>
              </w:rPr>
              <w:t xml:space="preserve"> annual increase non-res</w:t>
            </w:r>
          </w:p>
        </w:tc>
        <w:tc>
          <w:tcPr>
            <w:tcW w:w="3791" w:type="dxa"/>
            <w:tcMar>
              <w:top w:w="43" w:type="dxa"/>
              <w:left w:w="115" w:type="dxa"/>
              <w:bottom w:w="43" w:type="dxa"/>
              <w:right w:w="115" w:type="dxa"/>
            </w:tcMar>
          </w:tcPr>
          <w:p w14:paraId="65554E07"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3.99</w:t>
            </w:r>
            <w:r w:rsidRPr="00C57AD5">
              <w:rPr>
                <w:rFonts w:ascii="Arial" w:eastAsia="Times New Roman" w:hAnsi="Arial" w:cs="Arial"/>
                <w:bCs/>
                <w:color w:val="000000"/>
                <w:sz w:val="20"/>
                <w:szCs w:val="20"/>
              </w:rPr>
              <w:t>%</w:t>
            </w:r>
          </w:p>
          <w:p w14:paraId="149F4647"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4.00</w:t>
            </w:r>
            <w:r w:rsidRPr="00C57AD5">
              <w:rPr>
                <w:rFonts w:ascii="Arial" w:eastAsia="Times New Roman" w:hAnsi="Arial" w:cs="Arial"/>
                <w:bCs/>
                <w:color w:val="000000"/>
                <w:sz w:val="20"/>
                <w:szCs w:val="20"/>
              </w:rPr>
              <w:t>%</w:t>
            </w:r>
          </w:p>
          <w:p w14:paraId="3D57BC34"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3.0M</w:t>
            </w:r>
          </w:p>
          <w:p w14:paraId="69DBE962"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Surplus or (deficit): </w:t>
            </w:r>
            <w:r w:rsidRPr="00C0694C">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0</w:t>
            </w:r>
            <w:r w:rsidRPr="00C0694C">
              <w:rPr>
                <w:rFonts w:ascii="Arial" w:eastAsia="Times New Roman" w:hAnsi="Arial" w:cs="Arial"/>
                <w:bCs/>
                <w:color w:val="000000" w:themeColor="text1"/>
                <w:sz w:val="20"/>
                <w:szCs w:val="20"/>
              </w:rPr>
              <w:t>.</w:t>
            </w:r>
            <w:r>
              <w:rPr>
                <w:rFonts w:ascii="Arial" w:eastAsia="Times New Roman" w:hAnsi="Arial" w:cs="Arial"/>
                <w:bCs/>
                <w:color w:val="000000" w:themeColor="text1"/>
                <w:sz w:val="20"/>
                <w:szCs w:val="20"/>
              </w:rPr>
              <w:t>9</w:t>
            </w:r>
            <w:r w:rsidRPr="00C0694C">
              <w:rPr>
                <w:rFonts w:ascii="Arial" w:eastAsia="Times New Roman" w:hAnsi="Arial" w:cs="Arial"/>
                <w:bCs/>
                <w:color w:val="000000" w:themeColor="text1"/>
                <w:sz w:val="20"/>
                <w:szCs w:val="20"/>
              </w:rPr>
              <w:t xml:space="preserve">M </w:t>
            </w:r>
            <w:r>
              <w:rPr>
                <w:rFonts w:ascii="Arial" w:eastAsia="Times New Roman" w:hAnsi="Arial" w:cs="Arial"/>
                <w:bCs/>
                <w:color w:val="FF0000"/>
                <w:sz w:val="20"/>
                <w:szCs w:val="20"/>
              </w:rPr>
              <w:t>to $(7.8M)</w:t>
            </w:r>
          </w:p>
          <w:p w14:paraId="34955448"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 xml:space="preserve">405 </w:t>
            </w:r>
            <w:r w:rsidRPr="00C57AD5">
              <w:rPr>
                <w:rFonts w:ascii="Arial" w:eastAsia="Times New Roman" w:hAnsi="Arial" w:cs="Arial"/>
                <w:bCs/>
                <w:color w:val="000000"/>
                <w:sz w:val="20"/>
                <w:szCs w:val="20"/>
              </w:rPr>
              <w:t>annual increase residents</w:t>
            </w:r>
          </w:p>
          <w:p w14:paraId="5FCF1569" w14:textId="77777777" w:rsidR="00292926" w:rsidRPr="00C57AD5" w:rsidRDefault="00292926" w:rsidP="003A2FB4">
            <w:pPr>
              <w:spacing w:after="80"/>
              <w:rPr>
                <w:rFonts w:ascii="Arial" w:hAnsi="Arial" w:cs="Arial"/>
                <w:color w:val="000000" w:themeColor="text1"/>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1215</w:t>
            </w:r>
            <w:r w:rsidRPr="00C57AD5">
              <w:rPr>
                <w:rFonts w:ascii="Arial" w:eastAsia="Times New Roman" w:hAnsi="Arial" w:cs="Arial"/>
                <w:bCs/>
                <w:color w:val="000000"/>
                <w:sz w:val="20"/>
                <w:szCs w:val="20"/>
              </w:rPr>
              <w:t xml:space="preserve"> annual increase non-res</w:t>
            </w:r>
          </w:p>
        </w:tc>
      </w:tr>
      <w:tr w:rsidR="00292926" w:rsidRPr="00041A5A" w14:paraId="2D208B9B" w14:textId="77777777" w:rsidTr="003A2FB4">
        <w:trPr>
          <w:trHeight w:val="1792"/>
          <w:jc w:val="center"/>
        </w:trPr>
        <w:tc>
          <w:tcPr>
            <w:tcW w:w="2425" w:type="dxa"/>
            <w:shd w:val="clear" w:color="auto" w:fill="D9D9D9" w:themeFill="background1" w:themeFillShade="D9"/>
            <w:tcMar>
              <w:top w:w="43" w:type="dxa"/>
              <w:left w:w="115" w:type="dxa"/>
              <w:bottom w:w="43" w:type="dxa"/>
              <w:right w:w="115" w:type="dxa"/>
            </w:tcMar>
            <w:vAlign w:val="center"/>
          </w:tcPr>
          <w:p w14:paraId="7E0CA233" w14:textId="77777777" w:rsidR="00292926" w:rsidRPr="00C57AD5" w:rsidRDefault="00292926" w:rsidP="003A2FB4">
            <w:pPr>
              <w:rPr>
                <w:rFonts w:ascii="Arial" w:eastAsia="Times New Roman" w:hAnsi="Arial" w:cs="Arial"/>
                <w:b/>
                <w:bCs/>
                <w:color w:val="000000"/>
                <w:sz w:val="20"/>
                <w:szCs w:val="20"/>
              </w:rPr>
            </w:pPr>
            <w:r w:rsidRPr="00C57AD5">
              <w:rPr>
                <w:rFonts w:ascii="Arial" w:eastAsia="Times New Roman" w:hAnsi="Arial" w:cs="Arial"/>
                <w:b/>
                <w:bCs/>
                <w:color w:val="000000"/>
                <w:sz w:val="20"/>
                <w:szCs w:val="20"/>
              </w:rPr>
              <w:t xml:space="preserve">State </w:t>
            </w:r>
            <w:r>
              <w:rPr>
                <w:rFonts w:ascii="Arial" w:eastAsia="Times New Roman" w:hAnsi="Arial" w:cs="Arial"/>
                <w:b/>
                <w:bCs/>
                <w:color w:val="000000"/>
                <w:sz w:val="20"/>
                <w:szCs w:val="20"/>
              </w:rPr>
              <w:t xml:space="preserve">funding change year over year: </w:t>
            </w:r>
            <w:r w:rsidRPr="00C57AD5">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-8%</w:t>
            </w:r>
          </w:p>
          <w:p w14:paraId="45B7894B" w14:textId="77777777" w:rsidR="00292926" w:rsidRPr="00C57AD5" w:rsidRDefault="00292926" w:rsidP="003A2FB4">
            <w:pPr>
              <w:rPr>
                <w:rFonts w:ascii="Arial" w:eastAsia="Times New Roman" w:hAnsi="Arial" w:cs="Arial"/>
                <w:b/>
                <w:bCs/>
                <w:color w:val="000000"/>
                <w:sz w:val="20"/>
                <w:szCs w:val="20"/>
              </w:rPr>
            </w:pPr>
          </w:p>
          <w:p w14:paraId="2D1AEB5F" w14:textId="77777777" w:rsidR="00292926" w:rsidRPr="00C57AD5" w:rsidRDefault="00292926" w:rsidP="003A2FB4">
            <w:pPr>
              <w:rPr>
                <w:rFonts w:ascii="Arial" w:eastAsia="Times New Roman" w:hAnsi="Arial" w:cs="Arial"/>
                <w:b/>
                <w:bCs/>
                <w:color w:val="000000"/>
                <w:sz w:val="20"/>
                <w:szCs w:val="20"/>
              </w:rPr>
            </w:pPr>
          </w:p>
        </w:tc>
        <w:tc>
          <w:tcPr>
            <w:tcW w:w="3780" w:type="dxa"/>
            <w:shd w:val="clear" w:color="auto" w:fill="D9D9D9" w:themeFill="background1" w:themeFillShade="D9"/>
          </w:tcPr>
          <w:p w14:paraId="7CC46F47"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2.78</w:t>
            </w:r>
            <w:r w:rsidRPr="00C57AD5">
              <w:rPr>
                <w:rFonts w:ascii="Arial" w:eastAsia="Times New Roman" w:hAnsi="Arial" w:cs="Arial"/>
                <w:bCs/>
                <w:color w:val="000000"/>
                <w:sz w:val="20"/>
                <w:szCs w:val="20"/>
              </w:rPr>
              <w:t>%</w:t>
            </w:r>
          </w:p>
          <w:p w14:paraId="16EDF9D8"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2.72</w:t>
            </w:r>
            <w:r w:rsidRPr="00C57AD5">
              <w:rPr>
                <w:rFonts w:ascii="Arial" w:eastAsia="Times New Roman" w:hAnsi="Arial" w:cs="Arial"/>
                <w:bCs/>
                <w:color w:val="000000"/>
                <w:sz w:val="20"/>
                <w:szCs w:val="20"/>
              </w:rPr>
              <w:t>%</w:t>
            </w:r>
          </w:p>
          <w:p w14:paraId="4296A178"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2.3</w:t>
            </w:r>
            <w:r w:rsidRPr="00C57AD5">
              <w:rPr>
                <w:rFonts w:ascii="Arial" w:eastAsia="Times New Roman" w:hAnsi="Arial" w:cs="Arial"/>
                <w:bCs/>
                <w:color w:val="000000"/>
                <w:sz w:val="20"/>
                <w:szCs w:val="20"/>
              </w:rPr>
              <w:t>M</w:t>
            </w:r>
          </w:p>
          <w:p w14:paraId="27BD55CE" w14:textId="77777777" w:rsidR="00292926" w:rsidRDefault="00292926" w:rsidP="003A2FB4">
            <w:pPr>
              <w:spacing w:after="80"/>
              <w:rPr>
                <w:rFonts w:ascii="Arial" w:eastAsia="Times New Roman" w:hAnsi="Arial" w:cs="Arial"/>
                <w:bCs/>
                <w:color w:val="FF0000"/>
                <w:sz w:val="20"/>
                <w:szCs w:val="20"/>
              </w:rPr>
            </w:pPr>
            <w:r w:rsidRPr="00C57AD5">
              <w:rPr>
                <w:rFonts w:ascii="Arial" w:eastAsia="Times New Roman" w:hAnsi="Arial" w:cs="Arial"/>
                <w:bCs/>
                <w:color w:val="000000"/>
                <w:sz w:val="20"/>
                <w:szCs w:val="20"/>
              </w:rPr>
              <w:t xml:space="preserve">Surplus or (deficit): </w:t>
            </w:r>
            <w:r w:rsidRPr="00C57AD5">
              <w:rPr>
                <w:rFonts w:ascii="Arial" w:eastAsia="Times New Roman" w:hAnsi="Arial" w:cs="Arial"/>
                <w:bCs/>
                <w:color w:val="FF0000"/>
                <w:sz w:val="20"/>
                <w:szCs w:val="20"/>
              </w:rPr>
              <w:t>$(</w:t>
            </w:r>
            <w:r>
              <w:rPr>
                <w:rFonts w:ascii="Arial" w:eastAsia="Times New Roman" w:hAnsi="Arial" w:cs="Arial"/>
                <w:bCs/>
                <w:color w:val="FF0000"/>
                <w:sz w:val="20"/>
                <w:szCs w:val="20"/>
              </w:rPr>
              <w:t>8.8M) to $(17.1M)</w:t>
            </w:r>
          </w:p>
          <w:p w14:paraId="2591982E"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280</w:t>
            </w:r>
            <w:r w:rsidRPr="00C57AD5">
              <w:rPr>
                <w:rFonts w:ascii="Arial" w:eastAsia="Times New Roman" w:hAnsi="Arial" w:cs="Arial"/>
                <w:bCs/>
                <w:color w:val="000000"/>
                <w:sz w:val="20"/>
                <w:szCs w:val="20"/>
              </w:rPr>
              <w:t xml:space="preserve"> annual increase residents</w:t>
            </w:r>
          </w:p>
          <w:p w14:paraId="5D87D61B"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830</w:t>
            </w:r>
            <w:r w:rsidRPr="00C57AD5">
              <w:rPr>
                <w:rFonts w:ascii="Arial" w:eastAsia="Times New Roman" w:hAnsi="Arial" w:cs="Arial"/>
                <w:bCs/>
                <w:color w:val="000000"/>
                <w:sz w:val="20"/>
                <w:szCs w:val="20"/>
              </w:rPr>
              <w:t xml:space="preserve"> annual increase non-res</w:t>
            </w:r>
          </w:p>
        </w:tc>
        <w:tc>
          <w:tcPr>
            <w:tcW w:w="3780" w:type="dxa"/>
            <w:shd w:val="clear" w:color="auto" w:fill="D9D9D9" w:themeFill="background1" w:themeFillShade="D9"/>
            <w:tcMar>
              <w:top w:w="43" w:type="dxa"/>
              <w:left w:w="115" w:type="dxa"/>
              <w:bottom w:w="43" w:type="dxa"/>
              <w:right w:w="115" w:type="dxa"/>
            </w:tcMar>
          </w:tcPr>
          <w:p w14:paraId="3F2DA8E5"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3.55</w:t>
            </w:r>
            <w:r w:rsidRPr="00C57AD5">
              <w:rPr>
                <w:rFonts w:ascii="Arial" w:eastAsia="Times New Roman" w:hAnsi="Arial" w:cs="Arial"/>
                <w:bCs/>
                <w:color w:val="000000"/>
                <w:sz w:val="20"/>
                <w:szCs w:val="20"/>
              </w:rPr>
              <w:t>%</w:t>
            </w:r>
          </w:p>
          <w:p w14:paraId="55B51FEC"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3.41</w:t>
            </w:r>
            <w:r w:rsidRPr="00C57AD5">
              <w:rPr>
                <w:rFonts w:ascii="Arial" w:eastAsia="Times New Roman" w:hAnsi="Arial" w:cs="Arial"/>
                <w:bCs/>
                <w:color w:val="000000"/>
                <w:sz w:val="20"/>
                <w:szCs w:val="20"/>
              </w:rPr>
              <w:t>%</w:t>
            </w:r>
          </w:p>
          <w:p w14:paraId="20968C8F"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2.6</w:t>
            </w:r>
            <w:r w:rsidRPr="00C57AD5">
              <w:rPr>
                <w:rFonts w:ascii="Arial" w:eastAsia="Times New Roman" w:hAnsi="Arial" w:cs="Arial"/>
                <w:bCs/>
                <w:color w:val="000000"/>
                <w:sz w:val="20"/>
                <w:szCs w:val="20"/>
              </w:rPr>
              <w:t>M</w:t>
            </w:r>
          </w:p>
          <w:p w14:paraId="4A9B0C09"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Surplus or (deficit): </w:t>
            </w:r>
            <w:r w:rsidRPr="00C57AD5">
              <w:rPr>
                <w:rFonts w:ascii="Arial" w:eastAsia="Times New Roman" w:hAnsi="Arial" w:cs="Arial"/>
                <w:bCs/>
                <w:color w:val="FF0000"/>
                <w:sz w:val="20"/>
                <w:szCs w:val="20"/>
              </w:rPr>
              <w:t>$(</w:t>
            </w:r>
            <w:r>
              <w:rPr>
                <w:rFonts w:ascii="Arial" w:eastAsia="Times New Roman" w:hAnsi="Arial" w:cs="Arial"/>
                <w:bCs/>
                <w:color w:val="FF0000"/>
                <w:sz w:val="20"/>
                <w:szCs w:val="20"/>
              </w:rPr>
              <w:t>6.7M) to $(15.1M)</w:t>
            </w:r>
          </w:p>
          <w:p w14:paraId="3929970D"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 xml:space="preserve">360 </w:t>
            </w:r>
            <w:r w:rsidRPr="00C57AD5">
              <w:rPr>
                <w:rFonts w:ascii="Arial" w:eastAsia="Times New Roman" w:hAnsi="Arial" w:cs="Arial"/>
                <w:bCs/>
                <w:color w:val="000000"/>
                <w:sz w:val="20"/>
                <w:szCs w:val="20"/>
              </w:rPr>
              <w:t>annual increase residents</w:t>
            </w:r>
          </w:p>
          <w:p w14:paraId="0B94A924"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1035</w:t>
            </w:r>
            <w:r w:rsidRPr="00C57AD5">
              <w:rPr>
                <w:rFonts w:ascii="Arial" w:eastAsia="Times New Roman" w:hAnsi="Arial" w:cs="Arial"/>
                <w:bCs/>
                <w:color w:val="000000"/>
                <w:sz w:val="20"/>
                <w:szCs w:val="20"/>
              </w:rPr>
              <w:t xml:space="preserve"> annual increase non-res</w:t>
            </w:r>
          </w:p>
        </w:tc>
        <w:tc>
          <w:tcPr>
            <w:tcW w:w="3791" w:type="dxa"/>
            <w:shd w:val="clear" w:color="auto" w:fill="D9D9D9" w:themeFill="background1" w:themeFillShade="D9"/>
            <w:tcMar>
              <w:top w:w="43" w:type="dxa"/>
              <w:left w:w="115" w:type="dxa"/>
              <w:bottom w:w="43" w:type="dxa"/>
              <w:right w:w="115" w:type="dxa"/>
            </w:tcMar>
          </w:tcPr>
          <w:p w14:paraId="61296E44"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Resident undergraduate: </w:t>
            </w:r>
            <w:r>
              <w:rPr>
                <w:rFonts w:ascii="Arial" w:eastAsia="Times New Roman" w:hAnsi="Arial" w:cs="Arial"/>
                <w:bCs/>
                <w:color w:val="000000"/>
                <w:sz w:val="20"/>
                <w:szCs w:val="20"/>
              </w:rPr>
              <w:t>3.99</w:t>
            </w:r>
            <w:r w:rsidRPr="00C57AD5">
              <w:rPr>
                <w:rFonts w:ascii="Arial" w:eastAsia="Times New Roman" w:hAnsi="Arial" w:cs="Arial"/>
                <w:bCs/>
                <w:color w:val="000000"/>
                <w:sz w:val="20"/>
                <w:szCs w:val="20"/>
              </w:rPr>
              <w:t>%</w:t>
            </w:r>
          </w:p>
          <w:p w14:paraId="0D781CA5"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Non-res undergraduate: </w:t>
            </w:r>
            <w:r>
              <w:rPr>
                <w:rFonts w:ascii="Arial" w:eastAsia="Times New Roman" w:hAnsi="Arial" w:cs="Arial"/>
                <w:bCs/>
                <w:color w:val="000000"/>
                <w:sz w:val="20"/>
                <w:szCs w:val="20"/>
              </w:rPr>
              <w:t>4.00</w:t>
            </w:r>
            <w:r w:rsidRPr="00C57AD5">
              <w:rPr>
                <w:rFonts w:ascii="Arial" w:eastAsia="Times New Roman" w:hAnsi="Arial" w:cs="Arial"/>
                <w:bCs/>
                <w:color w:val="000000"/>
                <w:sz w:val="20"/>
                <w:szCs w:val="20"/>
              </w:rPr>
              <w:t>%</w:t>
            </w:r>
          </w:p>
          <w:p w14:paraId="53EF95AB"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Financial aid increase $</w:t>
            </w:r>
            <w:r>
              <w:rPr>
                <w:rFonts w:ascii="Arial" w:eastAsia="Times New Roman" w:hAnsi="Arial" w:cs="Arial"/>
                <w:bCs/>
                <w:color w:val="000000"/>
                <w:sz w:val="20"/>
                <w:szCs w:val="20"/>
              </w:rPr>
              <w:t>3.0M</w:t>
            </w:r>
          </w:p>
          <w:p w14:paraId="294DB603" w14:textId="77777777" w:rsidR="00292926" w:rsidRDefault="00292926" w:rsidP="003A2FB4">
            <w:pPr>
              <w:spacing w:after="80"/>
              <w:rPr>
                <w:rFonts w:ascii="Arial" w:eastAsia="Times New Roman" w:hAnsi="Arial" w:cs="Arial"/>
                <w:bCs/>
                <w:color w:val="FF0000"/>
                <w:sz w:val="20"/>
                <w:szCs w:val="20"/>
              </w:rPr>
            </w:pPr>
            <w:r w:rsidRPr="00C57AD5">
              <w:rPr>
                <w:rFonts w:ascii="Arial" w:eastAsia="Times New Roman" w:hAnsi="Arial" w:cs="Arial"/>
                <w:bCs/>
                <w:color w:val="000000"/>
                <w:sz w:val="20"/>
                <w:szCs w:val="20"/>
              </w:rPr>
              <w:t xml:space="preserve">Surplus or (deficit): </w:t>
            </w:r>
            <w:r w:rsidRPr="00C57AD5">
              <w:rPr>
                <w:rFonts w:ascii="Arial" w:eastAsia="Times New Roman" w:hAnsi="Arial" w:cs="Arial"/>
                <w:bCs/>
                <w:color w:val="FF0000"/>
                <w:sz w:val="20"/>
                <w:szCs w:val="20"/>
              </w:rPr>
              <w:t>$(</w:t>
            </w:r>
            <w:r>
              <w:rPr>
                <w:rFonts w:ascii="Arial" w:eastAsia="Times New Roman" w:hAnsi="Arial" w:cs="Arial"/>
                <w:bCs/>
                <w:color w:val="FF0000"/>
                <w:sz w:val="20"/>
                <w:szCs w:val="20"/>
              </w:rPr>
              <w:t>4.9M) to $(13.1M)</w:t>
            </w:r>
          </w:p>
          <w:p w14:paraId="254C525B"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 xml:space="preserve">405 </w:t>
            </w:r>
            <w:r w:rsidRPr="00C57AD5">
              <w:rPr>
                <w:rFonts w:ascii="Arial" w:eastAsia="Times New Roman" w:hAnsi="Arial" w:cs="Arial"/>
                <w:bCs/>
                <w:color w:val="000000"/>
                <w:sz w:val="20"/>
                <w:szCs w:val="20"/>
              </w:rPr>
              <w:t>annual increase residents</w:t>
            </w:r>
          </w:p>
          <w:p w14:paraId="7C00288C"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w:t>
            </w:r>
            <w:r>
              <w:rPr>
                <w:rFonts w:ascii="Arial" w:eastAsia="Times New Roman" w:hAnsi="Arial" w:cs="Arial"/>
                <w:bCs/>
                <w:color w:val="000000"/>
                <w:sz w:val="20"/>
                <w:szCs w:val="20"/>
              </w:rPr>
              <w:t>1215</w:t>
            </w:r>
            <w:r w:rsidRPr="00C57AD5">
              <w:rPr>
                <w:rFonts w:ascii="Arial" w:eastAsia="Times New Roman" w:hAnsi="Arial" w:cs="Arial"/>
                <w:bCs/>
                <w:color w:val="000000"/>
                <w:sz w:val="20"/>
                <w:szCs w:val="20"/>
              </w:rPr>
              <w:t xml:space="preserve"> annual increase non-res</w:t>
            </w:r>
          </w:p>
        </w:tc>
      </w:tr>
      <w:tr w:rsidR="00292926" w:rsidRPr="00041A5A" w14:paraId="46413E62" w14:textId="77777777" w:rsidTr="003A2FB4">
        <w:trPr>
          <w:jc w:val="center"/>
        </w:trPr>
        <w:tc>
          <w:tcPr>
            <w:tcW w:w="2425" w:type="dxa"/>
            <w:tcMar>
              <w:top w:w="43" w:type="dxa"/>
              <w:left w:w="115" w:type="dxa"/>
              <w:bottom w:w="43" w:type="dxa"/>
              <w:right w:w="115" w:type="dxa"/>
            </w:tcMar>
            <w:vAlign w:val="center"/>
          </w:tcPr>
          <w:p w14:paraId="54987FD1" w14:textId="77777777" w:rsidR="00292926" w:rsidRPr="00C57AD5" w:rsidRDefault="00292926" w:rsidP="003A2FB4">
            <w:pPr>
              <w:rPr>
                <w:rFonts w:ascii="Arial" w:eastAsia="Times New Roman" w:hAnsi="Arial" w:cs="Arial"/>
                <w:b/>
                <w:bCs/>
                <w:color w:val="000000"/>
                <w:sz w:val="20"/>
                <w:szCs w:val="20"/>
              </w:rPr>
            </w:pPr>
          </w:p>
        </w:tc>
        <w:tc>
          <w:tcPr>
            <w:tcW w:w="3780" w:type="dxa"/>
          </w:tcPr>
          <w:p w14:paraId="796C4BD7"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Base resident tuition &amp; fees: </w:t>
            </w:r>
            <w:r>
              <w:rPr>
                <w:rFonts w:ascii="Arial" w:eastAsia="Times New Roman" w:hAnsi="Arial" w:cs="Arial"/>
                <w:bCs/>
                <w:color w:val="000000"/>
                <w:sz w:val="20"/>
                <w:szCs w:val="20"/>
              </w:rPr>
              <w:t>2.90</w:t>
            </w:r>
            <w:r w:rsidRPr="00C57AD5">
              <w:rPr>
                <w:rFonts w:ascii="Arial" w:eastAsia="Times New Roman" w:hAnsi="Arial" w:cs="Arial"/>
                <w:bCs/>
                <w:color w:val="000000"/>
                <w:sz w:val="20"/>
                <w:szCs w:val="20"/>
              </w:rPr>
              <w:t>%</w:t>
            </w:r>
          </w:p>
          <w:p w14:paraId="4AA66BEB"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Average res. tuition &amp; fees:  </w:t>
            </w:r>
            <w:r>
              <w:rPr>
                <w:rFonts w:ascii="Arial" w:eastAsia="Times New Roman" w:hAnsi="Arial" w:cs="Arial"/>
                <w:bCs/>
                <w:color w:val="000000"/>
                <w:sz w:val="20"/>
                <w:szCs w:val="20"/>
              </w:rPr>
              <w:t>2.86</w:t>
            </w:r>
            <w:r w:rsidRPr="00C57AD5">
              <w:rPr>
                <w:rFonts w:ascii="Arial" w:eastAsia="Times New Roman" w:hAnsi="Arial" w:cs="Arial"/>
                <w:bCs/>
                <w:color w:val="000000"/>
                <w:sz w:val="20"/>
                <w:szCs w:val="20"/>
              </w:rPr>
              <w:t>%</w:t>
            </w:r>
          </w:p>
        </w:tc>
        <w:tc>
          <w:tcPr>
            <w:tcW w:w="3780" w:type="dxa"/>
            <w:tcMar>
              <w:top w:w="43" w:type="dxa"/>
              <w:left w:w="115" w:type="dxa"/>
              <w:bottom w:w="43" w:type="dxa"/>
              <w:right w:w="115" w:type="dxa"/>
            </w:tcMar>
          </w:tcPr>
          <w:p w14:paraId="6D86F71A"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Base resident tuition &amp; fees: </w:t>
            </w:r>
            <w:r>
              <w:rPr>
                <w:rFonts w:ascii="Arial" w:eastAsia="Times New Roman" w:hAnsi="Arial" w:cs="Arial"/>
                <w:bCs/>
                <w:color w:val="000000"/>
                <w:sz w:val="20"/>
                <w:szCs w:val="20"/>
              </w:rPr>
              <w:t>3.57</w:t>
            </w:r>
            <w:r w:rsidRPr="00C57AD5">
              <w:rPr>
                <w:rFonts w:ascii="Arial" w:eastAsia="Times New Roman" w:hAnsi="Arial" w:cs="Arial"/>
                <w:bCs/>
                <w:color w:val="000000"/>
                <w:sz w:val="20"/>
                <w:szCs w:val="20"/>
              </w:rPr>
              <w:t>%</w:t>
            </w:r>
          </w:p>
          <w:p w14:paraId="6DC28D63"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Average res. tuition &amp; fees:  </w:t>
            </w:r>
            <w:r>
              <w:rPr>
                <w:rFonts w:ascii="Arial" w:eastAsia="Times New Roman" w:hAnsi="Arial" w:cs="Arial"/>
                <w:bCs/>
                <w:color w:val="000000"/>
                <w:sz w:val="20"/>
                <w:szCs w:val="20"/>
              </w:rPr>
              <w:t>3.49</w:t>
            </w:r>
            <w:r w:rsidRPr="00C57AD5">
              <w:rPr>
                <w:rFonts w:ascii="Arial" w:eastAsia="Times New Roman" w:hAnsi="Arial" w:cs="Arial"/>
                <w:bCs/>
                <w:color w:val="000000"/>
                <w:sz w:val="20"/>
                <w:szCs w:val="20"/>
              </w:rPr>
              <w:t>%</w:t>
            </w:r>
          </w:p>
        </w:tc>
        <w:tc>
          <w:tcPr>
            <w:tcW w:w="3791" w:type="dxa"/>
            <w:tcMar>
              <w:top w:w="43" w:type="dxa"/>
              <w:left w:w="115" w:type="dxa"/>
              <w:bottom w:w="43" w:type="dxa"/>
              <w:right w:w="115" w:type="dxa"/>
            </w:tcMar>
          </w:tcPr>
          <w:p w14:paraId="5BB7135D"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Base resident tuition &amp; fees: </w:t>
            </w:r>
            <w:r>
              <w:rPr>
                <w:rFonts w:ascii="Arial" w:eastAsia="Times New Roman" w:hAnsi="Arial" w:cs="Arial"/>
                <w:bCs/>
                <w:color w:val="000000"/>
                <w:sz w:val="20"/>
                <w:szCs w:val="20"/>
              </w:rPr>
              <w:t>3.94</w:t>
            </w:r>
            <w:r w:rsidRPr="00C57AD5">
              <w:rPr>
                <w:rFonts w:ascii="Arial" w:eastAsia="Times New Roman" w:hAnsi="Arial" w:cs="Arial"/>
                <w:bCs/>
                <w:color w:val="000000"/>
                <w:sz w:val="20"/>
                <w:szCs w:val="20"/>
              </w:rPr>
              <w:t>%</w:t>
            </w:r>
          </w:p>
          <w:p w14:paraId="196EAF21" w14:textId="77777777" w:rsidR="00292926" w:rsidRPr="00C57AD5" w:rsidRDefault="00292926" w:rsidP="003A2FB4">
            <w:pPr>
              <w:spacing w:after="80"/>
              <w:rPr>
                <w:rFonts w:ascii="Arial" w:eastAsia="Times New Roman" w:hAnsi="Arial" w:cs="Arial"/>
                <w:bCs/>
                <w:color w:val="000000"/>
                <w:sz w:val="20"/>
                <w:szCs w:val="20"/>
              </w:rPr>
            </w:pPr>
            <w:r w:rsidRPr="00C57AD5">
              <w:rPr>
                <w:rFonts w:ascii="Arial" w:eastAsia="Times New Roman" w:hAnsi="Arial" w:cs="Arial"/>
                <w:bCs/>
                <w:color w:val="000000"/>
                <w:sz w:val="20"/>
                <w:szCs w:val="20"/>
              </w:rPr>
              <w:t xml:space="preserve">Average res. tuition &amp; fees:  </w:t>
            </w:r>
            <w:r>
              <w:rPr>
                <w:rFonts w:ascii="Arial" w:eastAsia="Times New Roman" w:hAnsi="Arial" w:cs="Arial"/>
                <w:bCs/>
                <w:color w:val="000000"/>
                <w:sz w:val="20"/>
                <w:szCs w:val="20"/>
              </w:rPr>
              <w:t>3.81</w:t>
            </w:r>
            <w:r w:rsidRPr="00C57AD5">
              <w:rPr>
                <w:rFonts w:ascii="Arial" w:eastAsia="Times New Roman" w:hAnsi="Arial" w:cs="Arial"/>
                <w:bCs/>
                <w:color w:val="000000"/>
                <w:sz w:val="20"/>
                <w:szCs w:val="20"/>
              </w:rPr>
              <w:t>%</w:t>
            </w:r>
          </w:p>
        </w:tc>
      </w:tr>
    </w:tbl>
    <w:p w14:paraId="3444A6FE" w14:textId="756744B2" w:rsidR="001C50B2" w:rsidRPr="00584CAA" w:rsidRDefault="001E73A3" w:rsidP="003D6AD1">
      <w:pPr>
        <w:spacing w:after="60"/>
        <w:rPr>
          <w:sz w:val="22"/>
          <w:szCs w:val="22"/>
        </w:rPr>
      </w:pPr>
      <w:r>
        <w:rPr>
          <w:sz w:val="20"/>
          <w:szCs w:val="20"/>
        </w:rPr>
        <w:t xml:space="preserve">Other tuition rates used in the scenario analyses are at the rates noted in </w:t>
      </w:r>
      <w:r w:rsidR="00E40A53" w:rsidRPr="00EB7395">
        <w:rPr>
          <w:color w:val="0070C0"/>
          <w:sz w:val="20"/>
          <w:szCs w:val="20"/>
        </w:rPr>
        <w:fldChar w:fldCharType="begin"/>
      </w:r>
      <w:r w:rsidR="00E40A53" w:rsidRPr="00EB7395">
        <w:rPr>
          <w:color w:val="0070C0"/>
          <w:sz w:val="20"/>
          <w:szCs w:val="20"/>
        </w:rPr>
        <w:instrText xml:space="preserve"> REF _Ref62746130 \h </w:instrText>
      </w:r>
      <w:r w:rsidR="00E40A53">
        <w:rPr>
          <w:color w:val="0070C0"/>
          <w:sz w:val="20"/>
          <w:szCs w:val="20"/>
        </w:rPr>
        <w:instrText xml:space="preserve"> \* MERGEFORMAT </w:instrText>
      </w:r>
      <w:r w:rsidR="00E40A53" w:rsidRPr="00EB7395">
        <w:rPr>
          <w:color w:val="0070C0"/>
          <w:sz w:val="20"/>
          <w:szCs w:val="20"/>
        </w:rPr>
      </w:r>
      <w:r w:rsidR="00E40A53" w:rsidRPr="00EB7395">
        <w:rPr>
          <w:color w:val="0070C0"/>
          <w:sz w:val="20"/>
          <w:szCs w:val="20"/>
        </w:rPr>
        <w:fldChar w:fldCharType="separate"/>
      </w:r>
      <w:r w:rsidR="00E40A53" w:rsidRPr="00EB7395">
        <w:rPr>
          <w:color w:val="0070C0"/>
          <w:sz w:val="20"/>
          <w:szCs w:val="20"/>
        </w:rPr>
        <w:t>Appendix B</w:t>
      </w:r>
      <w:r w:rsidR="00E40A53" w:rsidRPr="00EB7395">
        <w:rPr>
          <w:color w:val="0070C0"/>
          <w:sz w:val="20"/>
          <w:szCs w:val="20"/>
        </w:rPr>
        <w:fldChar w:fldCharType="end"/>
      </w:r>
      <w:r>
        <w:rPr>
          <w:sz w:val="20"/>
          <w:szCs w:val="20"/>
        </w:rPr>
        <w:t>.</w:t>
      </w:r>
      <w:r w:rsidR="003D6AD1" w:rsidRPr="00584CAA">
        <w:rPr>
          <w:sz w:val="22"/>
          <w:szCs w:val="22"/>
        </w:rPr>
        <w:t xml:space="preserve"> </w:t>
      </w:r>
    </w:p>
    <w:sectPr w:rsidR="001C50B2" w:rsidRPr="00584CAA" w:rsidSect="003D6AD1">
      <w:pgSz w:w="15840" w:h="12240" w:orient="landscape"/>
      <w:pgMar w:top="1440" w:right="1170" w:bottom="18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F963" w14:textId="77777777" w:rsidR="00745F6C" w:rsidRDefault="00745F6C" w:rsidP="002B38A1">
      <w:r>
        <w:separator/>
      </w:r>
    </w:p>
  </w:endnote>
  <w:endnote w:type="continuationSeparator" w:id="0">
    <w:p w14:paraId="25D35AC1" w14:textId="77777777" w:rsidR="00745F6C" w:rsidRDefault="00745F6C" w:rsidP="002B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4117879"/>
      <w:docPartObj>
        <w:docPartGallery w:val="Page Numbers (Bottom of Page)"/>
        <w:docPartUnique/>
      </w:docPartObj>
    </w:sdtPr>
    <w:sdtEndPr>
      <w:rPr>
        <w:rStyle w:val="PageNumber"/>
      </w:rPr>
    </w:sdtEndPr>
    <w:sdtContent>
      <w:p w14:paraId="4FD31194" w14:textId="5C716A58" w:rsidR="00F7738C" w:rsidRDefault="00F7738C" w:rsidP="00074C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6F648" w14:textId="77777777" w:rsidR="00F7738C" w:rsidRDefault="00F7738C" w:rsidP="00F77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1075290"/>
      <w:docPartObj>
        <w:docPartGallery w:val="Page Numbers (Bottom of Page)"/>
        <w:docPartUnique/>
      </w:docPartObj>
    </w:sdtPr>
    <w:sdtEndPr>
      <w:rPr>
        <w:rStyle w:val="PageNumber"/>
      </w:rPr>
    </w:sdtEndPr>
    <w:sdtContent>
      <w:p w14:paraId="5AB316ED" w14:textId="682252CC" w:rsidR="00F7738C" w:rsidRDefault="00F7738C" w:rsidP="00074C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2A40">
          <w:rPr>
            <w:rStyle w:val="PageNumber"/>
            <w:noProof/>
          </w:rPr>
          <w:t>3</w:t>
        </w:r>
        <w:r>
          <w:rPr>
            <w:rStyle w:val="PageNumber"/>
          </w:rPr>
          <w:fldChar w:fldCharType="end"/>
        </w:r>
      </w:p>
    </w:sdtContent>
  </w:sdt>
  <w:p w14:paraId="79BCCA8A" w14:textId="77777777" w:rsidR="00F7738C" w:rsidRDefault="00F7738C" w:rsidP="00F773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16F98" w14:textId="77777777" w:rsidR="00745F6C" w:rsidRDefault="00745F6C" w:rsidP="002B38A1">
      <w:r>
        <w:separator/>
      </w:r>
    </w:p>
  </w:footnote>
  <w:footnote w:type="continuationSeparator" w:id="0">
    <w:p w14:paraId="213B1B9B" w14:textId="77777777" w:rsidR="00745F6C" w:rsidRDefault="00745F6C" w:rsidP="002B38A1">
      <w:r>
        <w:continuationSeparator/>
      </w:r>
    </w:p>
  </w:footnote>
  <w:footnote w:id="1">
    <w:p w14:paraId="02EBA034" w14:textId="77777777" w:rsidR="000239D6" w:rsidRPr="002B38A1" w:rsidRDefault="000239D6" w:rsidP="000239D6">
      <w:pPr>
        <w:pStyle w:val="FootnoteText"/>
        <w:rPr>
          <w:sz w:val="20"/>
          <w:szCs w:val="20"/>
        </w:rPr>
      </w:pPr>
      <w:r w:rsidRPr="002B38A1">
        <w:rPr>
          <w:rStyle w:val="FootnoteReference"/>
          <w:sz w:val="20"/>
          <w:szCs w:val="20"/>
        </w:rPr>
        <w:footnoteRef/>
      </w:r>
      <w:r w:rsidRPr="002B38A1">
        <w:rPr>
          <w:sz w:val="20"/>
          <w:szCs w:val="20"/>
        </w:rPr>
        <w:t xml:space="preserve"> Undergraduate rate increases </w:t>
      </w:r>
      <w:r>
        <w:rPr>
          <w:sz w:val="20"/>
          <w:szCs w:val="20"/>
        </w:rPr>
        <w:t>noted</w:t>
      </w:r>
      <w:r w:rsidRPr="002B38A1">
        <w:rPr>
          <w:sz w:val="20"/>
          <w:szCs w:val="20"/>
        </w:rPr>
        <w:t xml:space="preserve"> </w:t>
      </w:r>
      <w:r>
        <w:rPr>
          <w:sz w:val="20"/>
          <w:szCs w:val="20"/>
        </w:rPr>
        <w:t>are on</w:t>
      </w:r>
      <w:r w:rsidRPr="002B38A1">
        <w:rPr>
          <w:sz w:val="20"/>
          <w:szCs w:val="20"/>
        </w:rPr>
        <w:t xml:space="preserve"> the per credit hour charges, not on the base “zero-credit” charge made for resident and non-resident academic year tuition</w:t>
      </w:r>
      <w:r>
        <w:rPr>
          <w:sz w:val="20"/>
          <w:szCs w:val="20"/>
        </w:rPr>
        <w:t>.  Total increases are somewhat less than the quoted percentages because of the fixed zero-credit charge and rounding to whole dollars.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3EDE" w14:textId="0AA4D940" w:rsidR="00584CAA" w:rsidRPr="00584CAA" w:rsidRDefault="00584CAA" w:rsidP="005777DE">
    <w:pPr>
      <w:pStyle w:val="Header"/>
      <w:tabs>
        <w:tab w:val="clear" w:pos="9360"/>
        <w:tab w:val="right" w:pos="13140"/>
      </w:tabs>
      <w:rPr>
        <w:sz w:val="22"/>
        <w:szCs w:val="22"/>
      </w:rPr>
    </w:pPr>
    <w:r>
      <w:tab/>
    </w:r>
    <w:r>
      <w:tab/>
    </w:r>
    <w:r w:rsidRPr="00584CAA">
      <w:rPr>
        <w:sz w:val="22"/>
        <w:szCs w:val="22"/>
      </w:rPr>
      <w:t xml:space="preserve">February </w:t>
    </w:r>
    <w:r w:rsidR="001E2D99">
      <w:rPr>
        <w:sz w:val="22"/>
        <w:szCs w:val="22"/>
      </w:rPr>
      <w:t>8</w:t>
    </w:r>
    <w:r w:rsidRPr="00584CAA">
      <w:rPr>
        <w:sz w:val="22"/>
        <w:szCs w:val="22"/>
      </w:rPr>
      <w:t>, 20</w:t>
    </w:r>
    <w:r w:rsidR="002B2AD1">
      <w:rPr>
        <w:sz w:val="22"/>
        <w:szCs w:val="22"/>
      </w:rPr>
      <w:t>2</w:t>
    </w:r>
    <w:r w:rsidR="001E2D99">
      <w:rPr>
        <w:sz w:val="22"/>
        <w:szCs w:val="22"/>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06383" w14:textId="2470133B" w:rsidR="00A83724" w:rsidRPr="005C2A40" w:rsidRDefault="00A83724" w:rsidP="00A83724">
    <w:pPr>
      <w:pStyle w:val="Header"/>
      <w:shd w:val="clear" w:color="auto" w:fill="D9D9D9" w:themeFill="background1" w:themeFillShade="D9"/>
      <w:rPr>
        <w:rFonts w:ascii="Constantia" w:hAnsi="Constantia"/>
        <w:b/>
        <w:i/>
        <w:sz w:val="20"/>
        <w:szCs w:val="20"/>
      </w:rPr>
    </w:pPr>
    <w:r w:rsidRPr="005C2A40">
      <w:rPr>
        <w:rFonts w:ascii="Constantia" w:hAnsi="Constantia"/>
        <w:b/>
        <w:i/>
        <w:sz w:val="20"/>
        <w:szCs w:val="20"/>
      </w:rPr>
      <w:t>Materials linked from the February 17, 2021 Budgets &amp; Fiscal Planning Committee agenda.</w:t>
    </w:r>
  </w:p>
  <w:p w14:paraId="7A9E8743" w14:textId="7DAFEB0E" w:rsidR="00A83724" w:rsidRPr="00A83724" w:rsidRDefault="00A83724">
    <w:pPr>
      <w:pStyle w:val="Header"/>
    </w:pPr>
    <w:r>
      <w:tab/>
    </w:r>
    <w:r>
      <w:tab/>
      <w:t>February 8,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7E4"/>
    <w:multiLevelType w:val="hybridMultilevel"/>
    <w:tmpl w:val="CDA4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B6"/>
    <w:multiLevelType w:val="hybridMultilevel"/>
    <w:tmpl w:val="24BE0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467CA"/>
    <w:multiLevelType w:val="hybridMultilevel"/>
    <w:tmpl w:val="D9F66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60BCA"/>
    <w:multiLevelType w:val="hybridMultilevel"/>
    <w:tmpl w:val="E0A24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EF3606"/>
    <w:multiLevelType w:val="hybridMultilevel"/>
    <w:tmpl w:val="610C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52BB8"/>
    <w:multiLevelType w:val="hybridMultilevel"/>
    <w:tmpl w:val="EEA2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02685"/>
    <w:multiLevelType w:val="hybridMultilevel"/>
    <w:tmpl w:val="E0C6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42675"/>
    <w:multiLevelType w:val="hybridMultilevel"/>
    <w:tmpl w:val="107E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87CE5"/>
    <w:multiLevelType w:val="hybridMultilevel"/>
    <w:tmpl w:val="5868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44127"/>
    <w:multiLevelType w:val="hybridMultilevel"/>
    <w:tmpl w:val="0C7C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9"/>
  </w:num>
  <w:num w:numId="4">
    <w:abstractNumId w:val="1"/>
  </w:num>
  <w:num w:numId="5">
    <w:abstractNumId w:val="3"/>
  </w:num>
  <w:num w:numId="6">
    <w:abstractNumId w:val="5"/>
  </w:num>
  <w:num w:numId="7">
    <w:abstractNumId w:val="7"/>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76"/>
    <w:rsid w:val="00020365"/>
    <w:rsid w:val="0002385A"/>
    <w:rsid w:val="000239D6"/>
    <w:rsid w:val="000337C4"/>
    <w:rsid w:val="00037E9F"/>
    <w:rsid w:val="00041A5A"/>
    <w:rsid w:val="000474C9"/>
    <w:rsid w:val="00067B83"/>
    <w:rsid w:val="00081AE1"/>
    <w:rsid w:val="0008342D"/>
    <w:rsid w:val="00083E8C"/>
    <w:rsid w:val="000A6867"/>
    <w:rsid w:val="000C442C"/>
    <w:rsid w:val="000C7198"/>
    <w:rsid w:val="000F0A1F"/>
    <w:rsid w:val="001135C6"/>
    <w:rsid w:val="00114ACC"/>
    <w:rsid w:val="00122896"/>
    <w:rsid w:val="00130C5B"/>
    <w:rsid w:val="00131090"/>
    <w:rsid w:val="0014382F"/>
    <w:rsid w:val="001466EE"/>
    <w:rsid w:val="00147634"/>
    <w:rsid w:val="00165529"/>
    <w:rsid w:val="00166497"/>
    <w:rsid w:val="001673D3"/>
    <w:rsid w:val="00172486"/>
    <w:rsid w:val="001861E5"/>
    <w:rsid w:val="00192557"/>
    <w:rsid w:val="00194582"/>
    <w:rsid w:val="001A2B16"/>
    <w:rsid w:val="001A42EC"/>
    <w:rsid w:val="001B510B"/>
    <w:rsid w:val="001C0375"/>
    <w:rsid w:val="001C50B2"/>
    <w:rsid w:val="001E2D99"/>
    <w:rsid w:val="001E54E6"/>
    <w:rsid w:val="001E6CE4"/>
    <w:rsid w:val="001E73A3"/>
    <w:rsid w:val="001F0CEA"/>
    <w:rsid w:val="001F25FE"/>
    <w:rsid w:val="002129C7"/>
    <w:rsid w:val="00212B47"/>
    <w:rsid w:val="002207A9"/>
    <w:rsid w:val="00227833"/>
    <w:rsid w:val="002337C7"/>
    <w:rsid w:val="002362F0"/>
    <w:rsid w:val="0024013F"/>
    <w:rsid w:val="00240B60"/>
    <w:rsid w:val="002432E9"/>
    <w:rsid w:val="00247544"/>
    <w:rsid w:val="00274743"/>
    <w:rsid w:val="0027586B"/>
    <w:rsid w:val="00280BB8"/>
    <w:rsid w:val="00287BB1"/>
    <w:rsid w:val="0029156F"/>
    <w:rsid w:val="00292926"/>
    <w:rsid w:val="002965B3"/>
    <w:rsid w:val="002A2731"/>
    <w:rsid w:val="002A644E"/>
    <w:rsid w:val="002A7F7F"/>
    <w:rsid w:val="002B21C7"/>
    <w:rsid w:val="002B2AD1"/>
    <w:rsid w:val="002B38A1"/>
    <w:rsid w:val="002B3E04"/>
    <w:rsid w:val="002B5A72"/>
    <w:rsid w:val="002B63CD"/>
    <w:rsid w:val="002C29E9"/>
    <w:rsid w:val="002C2A7F"/>
    <w:rsid w:val="002C3FB4"/>
    <w:rsid w:val="002D1701"/>
    <w:rsid w:val="002D5ADB"/>
    <w:rsid w:val="002D5E1D"/>
    <w:rsid w:val="002D5F86"/>
    <w:rsid w:val="002E0781"/>
    <w:rsid w:val="002E51D5"/>
    <w:rsid w:val="002E63A1"/>
    <w:rsid w:val="002F7B37"/>
    <w:rsid w:val="00301770"/>
    <w:rsid w:val="003054A3"/>
    <w:rsid w:val="00307C5E"/>
    <w:rsid w:val="00312815"/>
    <w:rsid w:val="00314B26"/>
    <w:rsid w:val="003214BD"/>
    <w:rsid w:val="00324D81"/>
    <w:rsid w:val="0032793A"/>
    <w:rsid w:val="003312D2"/>
    <w:rsid w:val="0034517F"/>
    <w:rsid w:val="00350979"/>
    <w:rsid w:val="00350B37"/>
    <w:rsid w:val="003528F8"/>
    <w:rsid w:val="00354145"/>
    <w:rsid w:val="00356318"/>
    <w:rsid w:val="00357FA1"/>
    <w:rsid w:val="0036008E"/>
    <w:rsid w:val="00364695"/>
    <w:rsid w:val="003661DD"/>
    <w:rsid w:val="00367195"/>
    <w:rsid w:val="003679BC"/>
    <w:rsid w:val="00374151"/>
    <w:rsid w:val="003825AD"/>
    <w:rsid w:val="003929DB"/>
    <w:rsid w:val="00396ED1"/>
    <w:rsid w:val="00397C79"/>
    <w:rsid w:val="003A6067"/>
    <w:rsid w:val="003C5291"/>
    <w:rsid w:val="003D2BBF"/>
    <w:rsid w:val="003D6AD1"/>
    <w:rsid w:val="003F470F"/>
    <w:rsid w:val="003F4EC2"/>
    <w:rsid w:val="003F5576"/>
    <w:rsid w:val="003F618A"/>
    <w:rsid w:val="003F62D4"/>
    <w:rsid w:val="00412558"/>
    <w:rsid w:val="00413A54"/>
    <w:rsid w:val="00421027"/>
    <w:rsid w:val="00427858"/>
    <w:rsid w:val="00431DE1"/>
    <w:rsid w:val="00460D8A"/>
    <w:rsid w:val="00477C6A"/>
    <w:rsid w:val="004818E3"/>
    <w:rsid w:val="00486D86"/>
    <w:rsid w:val="00493202"/>
    <w:rsid w:val="00497254"/>
    <w:rsid w:val="004B773B"/>
    <w:rsid w:val="004E0B11"/>
    <w:rsid w:val="004E1109"/>
    <w:rsid w:val="004E1443"/>
    <w:rsid w:val="004E4D9E"/>
    <w:rsid w:val="004F3745"/>
    <w:rsid w:val="005048D2"/>
    <w:rsid w:val="00512612"/>
    <w:rsid w:val="00515E08"/>
    <w:rsid w:val="00521665"/>
    <w:rsid w:val="00526BBD"/>
    <w:rsid w:val="00530B2F"/>
    <w:rsid w:val="00554E01"/>
    <w:rsid w:val="00577172"/>
    <w:rsid w:val="005777DE"/>
    <w:rsid w:val="00581EA3"/>
    <w:rsid w:val="00584612"/>
    <w:rsid w:val="00584CAA"/>
    <w:rsid w:val="005853F6"/>
    <w:rsid w:val="0059347B"/>
    <w:rsid w:val="005A415C"/>
    <w:rsid w:val="005C2A40"/>
    <w:rsid w:val="005D0AE1"/>
    <w:rsid w:val="005E0527"/>
    <w:rsid w:val="005F096A"/>
    <w:rsid w:val="005F1D5E"/>
    <w:rsid w:val="005F3F4F"/>
    <w:rsid w:val="005F4F7F"/>
    <w:rsid w:val="00603C62"/>
    <w:rsid w:val="00617A70"/>
    <w:rsid w:val="0062283B"/>
    <w:rsid w:val="0063629A"/>
    <w:rsid w:val="00640484"/>
    <w:rsid w:val="006404C3"/>
    <w:rsid w:val="006478E4"/>
    <w:rsid w:val="00654254"/>
    <w:rsid w:val="00671865"/>
    <w:rsid w:val="00672FD1"/>
    <w:rsid w:val="00677E03"/>
    <w:rsid w:val="00680354"/>
    <w:rsid w:val="006826E1"/>
    <w:rsid w:val="00695F7B"/>
    <w:rsid w:val="006A1612"/>
    <w:rsid w:val="006A3E33"/>
    <w:rsid w:val="006B50C4"/>
    <w:rsid w:val="006B6618"/>
    <w:rsid w:val="006B6C0A"/>
    <w:rsid w:val="006B6D2C"/>
    <w:rsid w:val="006B78DA"/>
    <w:rsid w:val="006D185B"/>
    <w:rsid w:val="006E2700"/>
    <w:rsid w:val="00700320"/>
    <w:rsid w:val="00706DCB"/>
    <w:rsid w:val="0071185A"/>
    <w:rsid w:val="007133C4"/>
    <w:rsid w:val="00727A1F"/>
    <w:rsid w:val="00740A3F"/>
    <w:rsid w:val="00740BA1"/>
    <w:rsid w:val="007438C1"/>
    <w:rsid w:val="00745F6C"/>
    <w:rsid w:val="00752842"/>
    <w:rsid w:val="00763E19"/>
    <w:rsid w:val="00767B37"/>
    <w:rsid w:val="00767F63"/>
    <w:rsid w:val="00777C87"/>
    <w:rsid w:val="007A1496"/>
    <w:rsid w:val="007A14BC"/>
    <w:rsid w:val="007A7CB8"/>
    <w:rsid w:val="007B65E2"/>
    <w:rsid w:val="007E1310"/>
    <w:rsid w:val="007E144B"/>
    <w:rsid w:val="007F125A"/>
    <w:rsid w:val="00811EE1"/>
    <w:rsid w:val="008204CA"/>
    <w:rsid w:val="00853224"/>
    <w:rsid w:val="008579DA"/>
    <w:rsid w:val="008649F0"/>
    <w:rsid w:val="00865E0F"/>
    <w:rsid w:val="008665C9"/>
    <w:rsid w:val="00870F4E"/>
    <w:rsid w:val="00871D61"/>
    <w:rsid w:val="008720F0"/>
    <w:rsid w:val="0087470B"/>
    <w:rsid w:val="00875F86"/>
    <w:rsid w:val="00877199"/>
    <w:rsid w:val="00877205"/>
    <w:rsid w:val="00877576"/>
    <w:rsid w:val="00885FB7"/>
    <w:rsid w:val="00893FCF"/>
    <w:rsid w:val="008A7C8C"/>
    <w:rsid w:val="008B6662"/>
    <w:rsid w:val="008C09C4"/>
    <w:rsid w:val="008C367B"/>
    <w:rsid w:val="008D00D2"/>
    <w:rsid w:val="008D37C4"/>
    <w:rsid w:val="008D7D47"/>
    <w:rsid w:val="008F0EC6"/>
    <w:rsid w:val="00902EC9"/>
    <w:rsid w:val="009053A3"/>
    <w:rsid w:val="00913BB1"/>
    <w:rsid w:val="009157BA"/>
    <w:rsid w:val="00927BAB"/>
    <w:rsid w:val="009353C6"/>
    <w:rsid w:val="00935515"/>
    <w:rsid w:val="00936C76"/>
    <w:rsid w:val="00946B76"/>
    <w:rsid w:val="00972C0D"/>
    <w:rsid w:val="00975329"/>
    <w:rsid w:val="00976074"/>
    <w:rsid w:val="00993EC3"/>
    <w:rsid w:val="00995914"/>
    <w:rsid w:val="009A0699"/>
    <w:rsid w:val="009B2984"/>
    <w:rsid w:val="009C1A8A"/>
    <w:rsid w:val="009D39B3"/>
    <w:rsid w:val="009E1FDE"/>
    <w:rsid w:val="009E30D2"/>
    <w:rsid w:val="009F45AB"/>
    <w:rsid w:val="009F77E9"/>
    <w:rsid w:val="00A00963"/>
    <w:rsid w:val="00A01C03"/>
    <w:rsid w:val="00A028E1"/>
    <w:rsid w:val="00A12C7A"/>
    <w:rsid w:val="00A156E1"/>
    <w:rsid w:val="00A254C2"/>
    <w:rsid w:val="00A42F5A"/>
    <w:rsid w:val="00A44277"/>
    <w:rsid w:val="00A45D79"/>
    <w:rsid w:val="00A56BE7"/>
    <w:rsid w:val="00A6034C"/>
    <w:rsid w:val="00A675FE"/>
    <w:rsid w:val="00A83724"/>
    <w:rsid w:val="00A93B62"/>
    <w:rsid w:val="00AA1F33"/>
    <w:rsid w:val="00AA2148"/>
    <w:rsid w:val="00AA592A"/>
    <w:rsid w:val="00AB19E7"/>
    <w:rsid w:val="00AB5B97"/>
    <w:rsid w:val="00AC10AD"/>
    <w:rsid w:val="00AD2FD7"/>
    <w:rsid w:val="00AE6529"/>
    <w:rsid w:val="00B034CA"/>
    <w:rsid w:val="00B06C58"/>
    <w:rsid w:val="00B07A85"/>
    <w:rsid w:val="00B12194"/>
    <w:rsid w:val="00B136B4"/>
    <w:rsid w:val="00B230B5"/>
    <w:rsid w:val="00B249FD"/>
    <w:rsid w:val="00B2644E"/>
    <w:rsid w:val="00B268AE"/>
    <w:rsid w:val="00B26C43"/>
    <w:rsid w:val="00B35B70"/>
    <w:rsid w:val="00B432B7"/>
    <w:rsid w:val="00B5453C"/>
    <w:rsid w:val="00B55F26"/>
    <w:rsid w:val="00B56702"/>
    <w:rsid w:val="00B6256D"/>
    <w:rsid w:val="00B72732"/>
    <w:rsid w:val="00B7512B"/>
    <w:rsid w:val="00B771FC"/>
    <w:rsid w:val="00B8176C"/>
    <w:rsid w:val="00B901BF"/>
    <w:rsid w:val="00B938B4"/>
    <w:rsid w:val="00B93969"/>
    <w:rsid w:val="00B9661C"/>
    <w:rsid w:val="00B9722C"/>
    <w:rsid w:val="00BA5F6F"/>
    <w:rsid w:val="00BC00FE"/>
    <w:rsid w:val="00BD5938"/>
    <w:rsid w:val="00BE5503"/>
    <w:rsid w:val="00BF0444"/>
    <w:rsid w:val="00BF5555"/>
    <w:rsid w:val="00BF667D"/>
    <w:rsid w:val="00C003B3"/>
    <w:rsid w:val="00C045CB"/>
    <w:rsid w:val="00C0771D"/>
    <w:rsid w:val="00C101A0"/>
    <w:rsid w:val="00C2174D"/>
    <w:rsid w:val="00C36D8B"/>
    <w:rsid w:val="00C415EB"/>
    <w:rsid w:val="00C451B7"/>
    <w:rsid w:val="00C568A3"/>
    <w:rsid w:val="00C57AD5"/>
    <w:rsid w:val="00C61F97"/>
    <w:rsid w:val="00C627DD"/>
    <w:rsid w:val="00C64E4B"/>
    <w:rsid w:val="00C719C1"/>
    <w:rsid w:val="00C859AD"/>
    <w:rsid w:val="00C864D7"/>
    <w:rsid w:val="00C9103C"/>
    <w:rsid w:val="00CD3A20"/>
    <w:rsid w:val="00CD3A72"/>
    <w:rsid w:val="00CD5FCD"/>
    <w:rsid w:val="00CE29F9"/>
    <w:rsid w:val="00CF2E8B"/>
    <w:rsid w:val="00D03FB8"/>
    <w:rsid w:val="00D15274"/>
    <w:rsid w:val="00D205C7"/>
    <w:rsid w:val="00D21BCE"/>
    <w:rsid w:val="00D41A6A"/>
    <w:rsid w:val="00D51F93"/>
    <w:rsid w:val="00D569C5"/>
    <w:rsid w:val="00D62598"/>
    <w:rsid w:val="00D70D77"/>
    <w:rsid w:val="00D85089"/>
    <w:rsid w:val="00D939A4"/>
    <w:rsid w:val="00DA71CD"/>
    <w:rsid w:val="00DC63D1"/>
    <w:rsid w:val="00DD4652"/>
    <w:rsid w:val="00DF590C"/>
    <w:rsid w:val="00E11B8D"/>
    <w:rsid w:val="00E27989"/>
    <w:rsid w:val="00E40A53"/>
    <w:rsid w:val="00E5563C"/>
    <w:rsid w:val="00E65CC5"/>
    <w:rsid w:val="00E77F57"/>
    <w:rsid w:val="00E81B25"/>
    <w:rsid w:val="00E868F7"/>
    <w:rsid w:val="00EA1D5B"/>
    <w:rsid w:val="00EB7395"/>
    <w:rsid w:val="00EB7FA3"/>
    <w:rsid w:val="00EC7EFE"/>
    <w:rsid w:val="00ED42CC"/>
    <w:rsid w:val="00ED4519"/>
    <w:rsid w:val="00ED7B0D"/>
    <w:rsid w:val="00EE503D"/>
    <w:rsid w:val="00EF2B07"/>
    <w:rsid w:val="00EF3AA7"/>
    <w:rsid w:val="00EF5E04"/>
    <w:rsid w:val="00F1007A"/>
    <w:rsid w:val="00F13C9E"/>
    <w:rsid w:val="00F14CDD"/>
    <w:rsid w:val="00F22E3B"/>
    <w:rsid w:val="00F24AAA"/>
    <w:rsid w:val="00F31762"/>
    <w:rsid w:val="00F51031"/>
    <w:rsid w:val="00F51D01"/>
    <w:rsid w:val="00F6205F"/>
    <w:rsid w:val="00F62D2B"/>
    <w:rsid w:val="00F65274"/>
    <w:rsid w:val="00F7738C"/>
    <w:rsid w:val="00F9036F"/>
    <w:rsid w:val="00F912D9"/>
    <w:rsid w:val="00F968C7"/>
    <w:rsid w:val="00FB4930"/>
    <w:rsid w:val="00FC00FE"/>
    <w:rsid w:val="00FC3505"/>
    <w:rsid w:val="00FC7606"/>
    <w:rsid w:val="00FD2488"/>
    <w:rsid w:val="00FD3392"/>
    <w:rsid w:val="00FD37F5"/>
    <w:rsid w:val="00FD7C7D"/>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36C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312D2"/>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42F5A"/>
    <w:rPr>
      <w:rFonts w:ascii="Helvetica" w:hAnsi="Helvetica" w:cs="Times New Roman"/>
      <w:sz w:val="14"/>
      <w:szCs w:val="14"/>
    </w:rPr>
  </w:style>
  <w:style w:type="paragraph" w:customStyle="1" w:styleId="p2">
    <w:name w:val="p2"/>
    <w:basedOn w:val="Normal"/>
    <w:rsid w:val="00581EA3"/>
    <w:rPr>
      <w:rFonts w:ascii="Helvetica" w:hAnsi="Helvetica" w:cs="Times New Roman"/>
      <w:sz w:val="12"/>
      <w:szCs w:val="12"/>
    </w:rPr>
  </w:style>
  <w:style w:type="paragraph" w:styleId="ListParagraph">
    <w:name w:val="List Paragraph"/>
    <w:basedOn w:val="Normal"/>
    <w:uiPriority w:val="34"/>
    <w:qFormat/>
    <w:rsid w:val="008B6662"/>
    <w:pPr>
      <w:ind w:left="720"/>
      <w:contextualSpacing/>
    </w:pPr>
  </w:style>
  <w:style w:type="table" w:styleId="TableGrid">
    <w:name w:val="Table Grid"/>
    <w:basedOn w:val="TableNormal"/>
    <w:uiPriority w:val="39"/>
    <w:rsid w:val="008B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B38A1"/>
  </w:style>
  <w:style w:type="character" w:customStyle="1" w:styleId="FootnoteTextChar">
    <w:name w:val="Footnote Text Char"/>
    <w:basedOn w:val="DefaultParagraphFont"/>
    <w:link w:val="FootnoteText"/>
    <w:uiPriority w:val="99"/>
    <w:rsid w:val="002B38A1"/>
  </w:style>
  <w:style w:type="character" w:styleId="FootnoteReference">
    <w:name w:val="footnote reference"/>
    <w:basedOn w:val="DefaultParagraphFont"/>
    <w:uiPriority w:val="99"/>
    <w:unhideWhenUsed/>
    <w:rsid w:val="002B38A1"/>
    <w:rPr>
      <w:vertAlign w:val="superscript"/>
    </w:rPr>
  </w:style>
  <w:style w:type="paragraph" w:styleId="Header">
    <w:name w:val="header"/>
    <w:basedOn w:val="Normal"/>
    <w:link w:val="HeaderChar"/>
    <w:uiPriority w:val="99"/>
    <w:unhideWhenUsed/>
    <w:rsid w:val="005048D2"/>
    <w:pPr>
      <w:tabs>
        <w:tab w:val="center" w:pos="4680"/>
        <w:tab w:val="right" w:pos="9360"/>
      </w:tabs>
    </w:pPr>
  </w:style>
  <w:style w:type="character" w:customStyle="1" w:styleId="HeaderChar">
    <w:name w:val="Header Char"/>
    <w:basedOn w:val="DefaultParagraphFont"/>
    <w:link w:val="Header"/>
    <w:uiPriority w:val="99"/>
    <w:rsid w:val="005048D2"/>
  </w:style>
  <w:style w:type="paragraph" w:styleId="Footer">
    <w:name w:val="footer"/>
    <w:basedOn w:val="Normal"/>
    <w:link w:val="FooterChar"/>
    <w:uiPriority w:val="99"/>
    <w:unhideWhenUsed/>
    <w:rsid w:val="005048D2"/>
    <w:pPr>
      <w:tabs>
        <w:tab w:val="center" w:pos="4680"/>
        <w:tab w:val="right" w:pos="9360"/>
      </w:tabs>
    </w:pPr>
  </w:style>
  <w:style w:type="character" w:customStyle="1" w:styleId="FooterChar">
    <w:name w:val="Footer Char"/>
    <w:basedOn w:val="DefaultParagraphFont"/>
    <w:link w:val="Footer"/>
    <w:uiPriority w:val="99"/>
    <w:rsid w:val="005048D2"/>
  </w:style>
  <w:style w:type="character" w:styleId="Hyperlink">
    <w:name w:val="Hyperlink"/>
    <w:basedOn w:val="DefaultParagraphFont"/>
    <w:uiPriority w:val="99"/>
    <w:unhideWhenUsed/>
    <w:rsid w:val="00865E0F"/>
    <w:rPr>
      <w:color w:val="0563C1" w:themeColor="hyperlink"/>
      <w:u w:val="single"/>
    </w:rPr>
  </w:style>
  <w:style w:type="paragraph" w:styleId="NormalWeb">
    <w:name w:val="Normal (Web)"/>
    <w:basedOn w:val="Normal"/>
    <w:uiPriority w:val="99"/>
    <w:unhideWhenUsed/>
    <w:rsid w:val="001C50B2"/>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F7738C"/>
  </w:style>
  <w:style w:type="character" w:styleId="CommentReference">
    <w:name w:val="annotation reference"/>
    <w:basedOn w:val="DefaultParagraphFont"/>
    <w:uiPriority w:val="99"/>
    <w:semiHidden/>
    <w:unhideWhenUsed/>
    <w:rsid w:val="002B63CD"/>
    <w:rPr>
      <w:sz w:val="16"/>
      <w:szCs w:val="16"/>
    </w:rPr>
  </w:style>
  <w:style w:type="paragraph" w:styleId="CommentText">
    <w:name w:val="annotation text"/>
    <w:basedOn w:val="Normal"/>
    <w:link w:val="CommentTextChar"/>
    <w:uiPriority w:val="99"/>
    <w:semiHidden/>
    <w:unhideWhenUsed/>
    <w:rsid w:val="002B63CD"/>
    <w:rPr>
      <w:sz w:val="20"/>
      <w:szCs w:val="20"/>
    </w:rPr>
  </w:style>
  <w:style w:type="character" w:customStyle="1" w:styleId="CommentTextChar">
    <w:name w:val="Comment Text Char"/>
    <w:basedOn w:val="DefaultParagraphFont"/>
    <w:link w:val="CommentText"/>
    <w:uiPriority w:val="99"/>
    <w:semiHidden/>
    <w:rsid w:val="002B63CD"/>
    <w:rPr>
      <w:sz w:val="20"/>
      <w:szCs w:val="20"/>
    </w:rPr>
  </w:style>
  <w:style w:type="paragraph" w:styleId="BalloonText">
    <w:name w:val="Balloon Text"/>
    <w:basedOn w:val="Normal"/>
    <w:link w:val="BalloonTextChar"/>
    <w:uiPriority w:val="99"/>
    <w:semiHidden/>
    <w:unhideWhenUsed/>
    <w:rsid w:val="002B63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63CD"/>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C7EFE"/>
    <w:rPr>
      <w:color w:val="954F72" w:themeColor="followedHyperlink"/>
      <w:u w:val="single"/>
    </w:rPr>
  </w:style>
  <w:style w:type="character" w:customStyle="1" w:styleId="UnresolvedMention1">
    <w:name w:val="Unresolved Mention1"/>
    <w:basedOn w:val="DefaultParagraphFont"/>
    <w:uiPriority w:val="99"/>
    <w:rsid w:val="00EC7EFE"/>
    <w:rPr>
      <w:color w:val="605E5C"/>
      <w:shd w:val="clear" w:color="auto" w:fill="E1DFDD"/>
    </w:rPr>
  </w:style>
  <w:style w:type="character" w:customStyle="1" w:styleId="apple-converted-space">
    <w:name w:val="apple-converted-space"/>
    <w:basedOn w:val="DefaultParagraphFont"/>
    <w:rsid w:val="009157BA"/>
  </w:style>
  <w:style w:type="paragraph" w:styleId="CommentSubject">
    <w:name w:val="annotation subject"/>
    <w:basedOn w:val="CommentText"/>
    <w:next w:val="CommentText"/>
    <w:link w:val="CommentSubjectChar"/>
    <w:uiPriority w:val="99"/>
    <w:semiHidden/>
    <w:unhideWhenUsed/>
    <w:rsid w:val="00E868F7"/>
    <w:rPr>
      <w:b/>
      <w:bCs/>
    </w:rPr>
  </w:style>
  <w:style w:type="character" w:customStyle="1" w:styleId="CommentSubjectChar">
    <w:name w:val="Comment Subject Char"/>
    <w:basedOn w:val="CommentTextChar"/>
    <w:link w:val="CommentSubject"/>
    <w:uiPriority w:val="99"/>
    <w:semiHidden/>
    <w:rsid w:val="00E868F7"/>
    <w:rPr>
      <w:b/>
      <w:bCs/>
      <w:sz w:val="20"/>
      <w:szCs w:val="20"/>
    </w:rPr>
  </w:style>
  <w:style w:type="character" w:customStyle="1" w:styleId="Heading2Char">
    <w:name w:val="Heading 2 Char"/>
    <w:basedOn w:val="DefaultParagraphFont"/>
    <w:link w:val="Heading2"/>
    <w:uiPriority w:val="9"/>
    <w:rsid w:val="003312D2"/>
    <w:rPr>
      <w:rFonts w:eastAsiaTheme="majorEastAsia" w:cstheme="majorBidi"/>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5095">
      <w:bodyDiv w:val="1"/>
      <w:marLeft w:val="0"/>
      <w:marRight w:val="0"/>
      <w:marTop w:val="0"/>
      <w:marBottom w:val="0"/>
      <w:divBdr>
        <w:top w:val="none" w:sz="0" w:space="0" w:color="auto"/>
        <w:left w:val="none" w:sz="0" w:space="0" w:color="auto"/>
        <w:bottom w:val="none" w:sz="0" w:space="0" w:color="auto"/>
        <w:right w:val="none" w:sz="0" w:space="0" w:color="auto"/>
      </w:divBdr>
      <w:divsChild>
        <w:div w:id="703020483">
          <w:marLeft w:val="0"/>
          <w:marRight w:val="0"/>
          <w:marTop w:val="0"/>
          <w:marBottom w:val="0"/>
          <w:divBdr>
            <w:top w:val="none" w:sz="0" w:space="0" w:color="auto"/>
            <w:left w:val="none" w:sz="0" w:space="0" w:color="auto"/>
            <w:bottom w:val="none" w:sz="0" w:space="0" w:color="auto"/>
            <w:right w:val="none" w:sz="0" w:space="0" w:color="auto"/>
          </w:divBdr>
          <w:divsChild>
            <w:div w:id="736437071">
              <w:marLeft w:val="0"/>
              <w:marRight w:val="0"/>
              <w:marTop w:val="0"/>
              <w:marBottom w:val="0"/>
              <w:divBdr>
                <w:top w:val="none" w:sz="0" w:space="0" w:color="auto"/>
                <w:left w:val="none" w:sz="0" w:space="0" w:color="auto"/>
                <w:bottom w:val="none" w:sz="0" w:space="0" w:color="auto"/>
                <w:right w:val="none" w:sz="0" w:space="0" w:color="auto"/>
              </w:divBdr>
              <w:divsChild>
                <w:div w:id="2671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7090">
      <w:bodyDiv w:val="1"/>
      <w:marLeft w:val="0"/>
      <w:marRight w:val="0"/>
      <w:marTop w:val="0"/>
      <w:marBottom w:val="0"/>
      <w:divBdr>
        <w:top w:val="none" w:sz="0" w:space="0" w:color="auto"/>
        <w:left w:val="none" w:sz="0" w:space="0" w:color="auto"/>
        <w:bottom w:val="none" w:sz="0" w:space="0" w:color="auto"/>
        <w:right w:val="none" w:sz="0" w:space="0" w:color="auto"/>
      </w:divBdr>
    </w:div>
    <w:div w:id="1325012171">
      <w:bodyDiv w:val="1"/>
      <w:marLeft w:val="0"/>
      <w:marRight w:val="0"/>
      <w:marTop w:val="0"/>
      <w:marBottom w:val="0"/>
      <w:divBdr>
        <w:top w:val="none" w:sz="0" w:space="0" w:color="auto"/>
        <w:left w:val="none" w:sz="0" w:space="0" w:color="auto"/>
        <w:bottom w:val="none" w:sz="0" w:space="0" w:color="auto"/>
        <w:right w:val="none" w:sz="0" w:space="0" w:color="auto"/>
      </w:divBdr>
    </w:div>
    <w:div w:id="1670250612">
      <w:bodyDiv w:val="1"/>
      <w:marLeft w:val="0"/>
      <w:marRight w:val="0"/>
      <w:marTop w:val="0"/>
      <w:marBottom w:val="0"/>
      <w:divBdr>
        <w:top w:val="none" w:sz="0" w:space="0" w:color="auto"/>
        <w:left w:val="none" w:sz="0" w:space="0" w:color="auto"/>
        <w:bottom w:val="none" w:sz="0" w:space="0" w:color="auto"/>
        <w:right w:val="none" w:sz="0" w:space="0" w:color="auto"/>
      </w:divBdr>
    </w:div>
    <w:div w:id="1736928117">
      <w:bodyDiv w:val="1"/>
      <w:marLeft w:val="0"/>
      <w:marRight w:val="0"/>
      <w:marTop w:val="0"/>
      <w:marBottom w:val="0"/>
      <w:divBdr>
        <w:top w:val="none" w:sz="0" w:space="0" w:color="auto"/>
        <w:left w:val="none" w:sz="0" w:space="0" w:color="auto"/>
        <w:bottom w:val="none" w:sz="0" w:space="0" w:color="auto"/>
        <w:right w:val="none" w:sz="0" w:space="0" w:color="auto"/>
      </w:divBdr>
    </w:div>
    <w:div w:id="1865514046">
      <w:bodyDiv w:val="1"/>
      <w:marLeft w:val="0"/>
      <w:marRight w:val="0"/>
      <w:marTop w:val="0"/>
      <w:marBottom w:val="0"/>
      <w:divBdr>
        <w:top w:val="none" w:sz="0" w:space="0" w:color="auto"/>
        <w:left w:val="none" w:sz="0" w:space="0" w:color="auto"/>
        <w:bottom w:val="none" w:sz="0" w:space="0" w:color="auto"/>
        <w:right w:val="none" w:sz="0" w:space="0" w:color="auto"/>
      </w:divBdr>
    </w:div>
    <w:div w:id="1868105546">
      <w:bodyDiv w:val="1"/>
      <w:marLeft w:val="0"/>
      <w:marRight w:val="0"/>
      <w:marTop w:val="0"/>
      <w:marBottom w:val="0"/>
      <w:divBdr>
        <w:top w:val="none" w:sz="0" w:space="0" w:color="auto"/>
        <w:left w:val="none" w:sz="0" w:space="0" w:color="auto"/>
        <w:bottom w:val="none" w:sz="0" w:space="0" w:color="auto"/>
        <w:right w:val="none" w:sz="0" w:space="0" w:color="auto"/>
      </w:divBdr>
    </w:div>
    <w:div w:id="1982155216">
      <w:bodyDiv w:val="1"/>
      <w:marLeft w:val="0"/>
      <w:marRight w:val="0"/>
      <w:marTop w:val="0"/>
      <w:marBottom w:val="0"/>
      <w:divBdr>
        <w:top w:val="none" w:sz="0" w:space="0" w:color="auto"/>
        <w:left w:val="none" w:sz="0" w:space="0" w:color="auto"/>
        <w:bottom w:val="none" w:sz="0" w:space="0" w:color="auto"/>
        <w:right w:val="none" w:sz="0" w:space="0" w:color="auto"/>
      </w:divBdr>
      <w:divsChild>
        <w:div w:id="1055394395">
          <w:marLeft w:val="0"/>
          <w:marRight w:val="0"/>
          <w:marTop w:val="0"/>
          <w:marBottom w:val="0"/>
          <w:divBdr>
            <w:top w:val="none" w:sz="0" w:space="0" w:color="auto"/>
            <w:left w:val="none" w:sz="0" w:space="0" w:color="auto"/>
            <w:bottom w:val="none" w:sz="0" w:space="0" w:color="auto"/>
            <w:right w:val="none" w:sz="0" w:space="0" w:color="auto"/>
          </w:divBdr>
          <w:divsChild>
            <w:div w:id="804393006">
              <w:marLeft w:val="0"/>
              <w:marRight w:val="0"/>
              <w:marTop w:val="0"/>
              <w:marBottom w:val="0"/>
              <w:divBdr>
                <w:top w:val="none" w:sz="0" w:space="0" w:color="auto"/>
                <w:left w:val="none" w:sz="0" w:space="0" w:color="auto"/>
                <w:bottom w:val="none" w:sz="0" w:space="0" w:color="auto"/>
                <w:right w:val="none" w:sz="0" w:space="0" w:color="auto"/>
              </w:divBdr>
              <w:divsChild>
                <w:div w:id="1055201396">
                  <w:marLeft w:val="0"/>
                  <w:marRight w:val="0"/>
                  <w:marTop w:val="0"/>
                  <w:marBottom w:val="0"/>
                  <w:divBdr>
                    <w:top w:val="none" w:sz="0" w:space="0" w:color="auto"/>
                    <w:left w:val="none" w:sz="0" w:space="0" w:color="auto"/>
                    <w:bottom w:val="none" w:sz="0" w:space="0" w:color="auto"/>
                    <w:right w:val="none" w:sz="0" w:space="0" w:color="auto"/>
                  </w:divBdr>
                </w:div>
              </w:divsChild>
            </w:div>
            <w:div w:id="1106731120">
              <w:marLeft w:val="0"/>
              <w:marRight w:val="0"/>
              <w:marTop w:val="0"/>
              <w:marBottom w:val="0"/>
              <w:divBdr>
                <w:top w:val="none" w:sz="0" w:space="0" w:color="auto"/>
                <w:left w:val="none" w:sz="0" w:space="0" w:color="auto"/>
                <w:bottom w:val="none" w:sz="0" w:space="0" w:color="auto"/>
                <w:right w:val="none" w:sz="0" w:space="0" w:color="auto"/>
              </w:divBdr>
              <w:divsChild>
                <w:div w:id="13479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5620">
          <w:marLeft w:val="0"/>
          <w:marRight w:val="0"/>
          <w:marTop w:val="0"/>
          <w:marBottom w:val="0"/>
          <w:divBdr>
            <w:top w:val="none" w:sz="0" w:space="0" w:color="auto"/>
            <w:left w:val="none" w:sz="0" w:space="0" w:color="auto"/>
            <w:bottom w:val="none" w:sz="0" w:space="0" w:color="auto"/>
            <w:right w:val="none" w:sz="0" w:space="0" w:color="auto"/>
          </w:divBdr>
          <w:divsChild>
            <w:div w:id="794064876">
              <w:marLeft w:val="0"/>
              <w:marRight w:val="0"/>
              <w:marTop w:val="0"/>
              <w:marBottom w:val="0"/>
              <w:divBdr>
                <w:top w:val="none" w:sz="0" w:space="0" w:color="auto"/>
                <w:left w:val="none" w:sz="0" w:space="0" w:color="auto"/>
                <w:bottom w:val="none" w:sz="0" w:space="0" w:color="auto"/>
                <w:right w:val="none" w:sz="0" w:space="0" w:color="auto"/>
              </w:divBdr>
              <w:divsChild>
                <w:div w:id="22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C00DF-8B0E-423E-9463-D6CEB47A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 Bloomer</dc:creator>
  <cp:keywords/>
  <dc:description/>
  <cp:lastModifiedBy>Calascibetta, Caitlin</cp:lastModifiedBy>
  <cp:revision>3</cp:revision>
  <cp:lastPrinted>2020-02-26T17:39:00Z</cp:lastPrinted>
  <dcterms:created xsi:type="dcterms:W3CDTF">2021-02-24T16:28:00Z</dcterms:created>
  <dcterms:modified xsi:type="dcterms:W3CDTF">2021-02-24T16:29:00Z</dcterms:modified>
</cp:coreProperties>
</file>